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E7" w:rsidRPr="00A30907" w:rsidRDefault="00224BE7" w:rsidP="00AA54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907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D61E86" w:rsidRPr="00A30907" w:rsidRDefault="00224BE7" w:rsidP="00D61E86">
      <w:pPr>
        <w:pStyle w:val="ConsPlusNormal"/>
        <w:jc w:val="center"/>
        <w:rPr>
          <w:b/>
        </w:rPr>
      </w:pPr>
      <w:r w:rsidRPr="00A30907">
        <w:rPr>
          <w:b/>
        </w:rPr>
        <w:t xml:space="preserve">к проекту </w:t>
      </w:r>
      <w:r w:rsidR="00D61E86" w:rsidRPr="00A30907">
        <w:rPr>
          <w:b/>
        </w:rPr>
        <w:t>изменений бюджетного прогноза</w:t>
      </w:r>
    </w:p>
    <w:p w:rsidR="00D61E86" w:rsidRPr="00A30907" w:rsidRDefault="00D61E86" w:rsidP="00D61E86">
      <w:pPr>
        <w:pStyle w:val="ConsPlusNormal"/>
        <w:jc w:val="center"/>
        <w:rPr>
          <w:b/>
        </w:rPr>
      </w:pPr>
      <w:r w:rsidRPr="00A30907">
        <w:rPr>
          <w:b/>
        </w:rPr>
        <w:t xml:space="preserve"> Чувашской Республики на период до 2030 года</w:t>
      </w:r>
    </w:p>
    <w:p w:rsidR="00224BE7" w:rsidRPr="00A30907" w:rsidRDefault="00224BE7" w:rsidP="00D61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5071" w:rsidRPr="00A30907" w:rsidRDefault="00AA5071" w:rsidP="00F027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0719" w:rsidRPr="00A30907" w:rsidRDefault="00C00719" w:rsidP="00C00719">
      <w:pPr>
        <w:pStyle w:val="ab"/>
        <w:ind w:left="0" w:firstLine="708"/>
        <w:jc w:val="both"/>
        <w:rPr>
          <w:rFonts w:eastAsia="Calibri"/>
        </w:rPr>
      </w:pPr>
      <w:r w:rsidRPr="00A30907">
        <w:t xml:space="preserve">Согласно пункту 4 статьи 47 </w:t>
      </w:r>
      <w:r w:rsidRPr="00A30907">
        <w:rPr>
          <w:bCs/>
          <w:color w:val="26282F"/>
        </w:rPr>
        <w:t xml:space="preserve">Закона Чувашской Республики от 23 июля </w:t>
      </w:r>
      <w:r w:rsidR="00DD0EE4" w:rsidRPr="00A30907">
        <w:rPr>
          <w:bCs/>
          <w:color w:val="26282F"/>
        </w:rPr>
        <w:t xml:space="preserve">       </w:t>
      </w:r>
      <w:r w:rsidRPr="00A30907">
        <w:rPr>
          <w:bCs/>
          <w:color w:val="26282F"/>
        </w:rPr>
        <w:t>2001 г. № 36 «О регулировании бюджетных правоотношений в Чувашской Респу</w:t>
      </w:r>
      <w:r w:rsidRPr="00A30907">
        <w:rPr>
          <w:bCs/>
          <w:color w:val="26282F"/>
        </w:rPr>
        <w:t>б</w:t>
      </w:r>
      <w:r w:rsidRPr="00A30907">
        <w:rPr>
          <w:bCs/>
          <w:color w:val="26282F"/>
        </w:rPr>
        <w:t>лике» п</w:t>
      </w:r>
      <w:r w:rsidRPr="00A30907">
        <w:t>роект закона Чувашской Республики о республиканском бюджете Чува</w:t>
      </w:r>
      <w:r w:rsidRPr="00A30907">
        <w:t>ш</w:t>
      </w:r>
      <w:r w:rsidRPr="00A30907">
        <w:t>ской Республики на очередной финансовый год и плановый период вносится в Государственный Совет Чувашской Республики одновременно с документами и материалами, в том числе с материалами, предусматривающими проект изменений бюджетного прогноза Чувашской Республики на долгосрочный период.</w:t>
      </w:r>
    </w:p>
    <w:p w:rsidR="009923CA" w:rsidRPr="00A30907" w:rsidRDefault="00A54958" w:rsidP="00DB1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A30907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hyperlink r:id="rId8" w:history="1">
        <w:r w:rsidRPr="00A30907">
          <w:rPr>
            <w:rFonts w:ascii="Times New Roman" w:eastAsiaTheme="minorHAnsi" w:hAnsi="Times New Roman"/>
            <w:sz w:val="26"/>
            <w:szCs w:val="26"/>
          </w:rPr>
          <w:t>Порядк</w:t>
        </w:r>
      </w:hyperlink>
      <w:r w:rsidRPr="00A30907">
        <w:rPr>
          <w:rFonts w:ascii="Times New Roman" w:eastAsiaTheme="minorHAnsi" w:hAnsi="Times New Roman"/>
          <w:sz w:val="26"/>
          <w:szCs w:val="26"/>
        </w:rPr>
        <w:t xml:space="preserve">ом разработки и утверждения бюджетного прогноза Чувашской Республики на долгосрочный период, утвержденным постановлением </w:t>
      </w:r>
      <w:r w:rsidRPr="00A30907">
        <w:rPr>
          <w:rFonts w:ascii="Times New Roman" w:hAnsi="Times New Roman"/>
          <w:sz w:val="26"/>
          <w:szCs w:val="26"/>
        </w:rPr>
        <w:t xml:space="preserve">Кабинета Министров Чувашской Республики </w:t>
      </w:r>
      <w:r w:rsidRPr="00A30907">
        <w:rPr>
          <w:rFonts w:ascii="Times New Roman" w:eastAsiaTheme="minorHAnsi" w:hAnsi="Times New Roman"/>
          <w:sz w:val="26"/>
          <w:szCs w:val="26"/>
        </w:rPr>
        <w:t>от 25 июня 2015 г</w:t>
      </w:r>
      <w:r w:rsidR="007D0776" w:rsidRPr="00A30907">
        <w:rPr>
          <w:rFonts w:ascii="Times New Roman" w:eastAsiaTheme="minorHAnsi" w:hAnsi="Times New Roman"/>
          <w:sz w:val="26"/>
          <w:szCs w:val="26"/>
        </w:rPr>
        <w:t>ода</w:t>
      </w:r>
      <w:r w:rsidRPr="00A30907">
        <w:rPr>
          <w:rFonts w:ascii="Times New Roman" w:eastAsiaTheme="minorHAnsi" w:hAnsi="Times New Roman"/>
          <w:sz w:val="26"/>
          <w:szCs w:val="26"/>
        </w:rPr>
        <w:t xml:space="preserve"> № 230, в </w:t>
      </w:r>
      <w:r w:rsidR="00BB64FF" w:rsidRPr="00A30907">
        <w:rPr>
          <w:rFonts w:ascii="Times New Roman" w:eastAsiaTheme="minorHAnsi" w:hAnsi="Times New Roman"/>
          <w:sz w:val="26"/>
          <w:szCs w:val="26"/>
        </w:rPr>
        <w:t>бю</w:t>
      </w:r>
      <w:r w:rsidR="00BB64FF" w:rsidRPr="00A30907">
        <w:rPr>
          <w:rFonts w:ascii="Times New Roman" w:eastAsiaTheme="minorHAnsi" w:hAnsi="Times New Roman"/>
          <w:sz w:val="26"/>
          <w:szCs w:val="26"/>
        </w:rPr>
        <w:t>д</w:t>
      </w:r>
      <w:r w:rsidR="00BB64FF" w:rsidRPr="00A30907">
        <w:rPr>
          <w:rFonts w:ascii="Times New Roman" w:eastAsiaTheme="minorHAnsi" w:hAnsi="Times New Roman"/>
          <w:sz w:val="26"/>
          <w:szCs w:val="26"/>
        </w:rPr>
        <w:t xml:space="preserve">жетный прогноз Чувашской Республики на долгосрочный период </w:t>
      </w:r>
      <w:r w:rsidRPr="00A30907">
        <w:rPr>
          <w:rFonts w:ascii="Times New Roman" w:eastAsiaTheme="minorHAnsi" w:hAnsi="Times New Roman"/>
          <w:sz w:val="26"/>
          <w:szCs w:val="26"/>
        </w:rPr>
        <w:t>могут быть вн</w:t>
      </w:r>
      <w:r w:rsidRPr="00A30907">
        <w:rPr>
          <w:rFonts w:ascii="Times New Roman" w:eastAsiaTheme="minorHAnsi" w:hAnsi="Times New Roman"/>
          <w:sz w:val="26"/>
          <w:szCs w:val="26"/>
        </w:rPr>
        <w:t>е</w:t>
      </w:r>
      <w:r w:rsidRPr="00A30907">
        <w:rPr>
          <w:rFonts w:ascii="Times New Roman" w:eastAsiaTheme="minorHAnsi" w:hAnsi="Times New Roman"/>
          <w:sz w:val="26"/>
          <w:szCs w:val="26"/>
        </w:rPr>
        <w:t xml:space="preserve">сены изменения без продления периода его действия. </w:t>
      </w:r>
      <w:r w:rsidR="00EE0CF5" w:rsidRPr="00A30907">
        <w:rPr>
          <w:rFonts w:ascii="Times New Roman" w:eastAsiaTheme="minorHAnsi" w:hAnsi="Times New Roman"/>
          <w:sz w:val="26"/>
          <w:szCs w:val="26"/>
        </w:rPr>
        <w:t>Изменение б</w:t>
      </w:r>
      <w:r w:rsidR="009923CA" w:rsidRPr="00A30907">
        <w:rPr>
          <w:rFonts w:ascii="Times New Roman" w:eastAsiaTheme="minorHAnsi" w:hAnsi="Times New Roman"/>
          <w:sz w:val="26"/>
          <w:szCs w:val="26"/>
        </w:rPr>
        <w:t>юджетного пр</w:t>
      </w:r>
      <w:r w:rsidR="009923CA" w:rsidRPr="00A30907">
        <w:rPr>
          <w:rFonts w:ascii="Times New Roman" w:eastAsiaTheme="minorHAnsi" w:hAnsi="Times New Roman"/>
          <w:sz w:val="26"/>
          <w:szCs w:val="26"/>
        </w:rPr>
        <w:t>о</w:t>
      </w:r>
      <w:r w:rsidR="009923CA" w:rsidRPr="00A30907">
        <w:rPr>
          <w:rFonts w:ascii="Times New Roman" w:eastAsiaTheme="minorHAnsi" w:hAnsi="Times New Roman"/>
          <w:sz w:val="26"/>
          <w:szCs w:val="26"/>
        </w:rPr>
        <w:t xml:space="preserve">гноза </w:t>
      </w:r>
      <w:r w:rsidR="00EE0CF5" w:rsidRPr="00A30907">
        <w:rPr>
          <w:rFonts w:ascii="Times New Roman" w:eastAsiaTheme="minorHAnsi" w:hAnsi="Times New Roman"/>
          <w:sz w:val="26"/>
          <w:szCs w:val="26"/>
        </w:rPr>
        <w:t xml:space="preserve">Чувашской Республики на долгосрочный период </w:t>
      </w:r>
      <w:r w:rsidR="009923CA" w:rsidRPr="00A30907">
        <w:rPr>
          <w:rFonts w:ascii="Times New Roman" w:eastAsiaTheme="minorHAnsi" w:hAnsi="Times New Roman"/>
          <w:sz w:val="26"/>
          <w:szCs w:val="26"/>
        </w:rPr>
        <w:t>осуществляется на основе:</w:t>
      </w:r>
    </w:p>
    <w:p w:rsidR="009923CA" w:rsidRPr="00A30907" w:rsidRDefault="009923CA" w:rsidP="00992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30907">
        <w:rPr>
          <w:rFonts w:ascii="Times New Roman" w:eastAsiaTheme="minorHAnsi" w:hAnsi="Times New Roman"/>
          <w:sz w:val="26"/>
          <w:szCs w:val="26"/>
        </w:rPr>
        <w:t>- принятого закона Чувашской Республики о республиканском бюджете Ч</w:t>
      </w:r>
      <w:r w:rsidRPr="00A30907">
        <w:rPr>
          <w:rFonts w:ascii="Times New Roman" w:eastAsiaTheme="minorHAnsi" w:hAnsi="Times New Roman"/>
          <w:sz w:val="26"/>
          <w:szCs w:val="26"/>
        </w:rPr>
        <w:t>у</w:t>
      </w:r>
      <w:r w:rsidRPr="00A30907">
        <w:rPr>
          <w:rFonts w:ascii="Times New Roman" w:eastAsiaTheme="minorHAnsi" w:hAnsi="Times New Roman"/>
          <w:sz w:val="26"/>
          <w:szCs w:val="26"/>
        </w:rPr>
        <w:t>вашской Республики на очередной финансовый год и плановый период;</w:t>
      </w:r>
    </w:p>
    <w:p w:rsidR="009923CA" w:rsidRPr="00A30907" w:rsidRDefault="009923CA" w:rsidP="00992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30907">
        <w:rPr>
          <w:rFonts w:ascii="Times New Roman" w:eastAsiaTheme="minorHAnsi" w:hAnsi="Times New Roman"/>
          <w:sz w:val="26"/>
          <w:szCs w:val="26"/>
        </w:rPr>
        <w:t xml:space="preserve">- изменения </w:t>
      </w:r>
      <w:r w:rsidR="00EE0CF5" w:rsidRPr="00A30907">
        <w:rPr>
          <w:rFonts w:ascii="Times New Roman" w:eastAsiaTheme="minorHAnsi" w:hAnsi="Times New Roman"/>
          <w:sz w:val="26"/>
          <w:szCs w:val="26"/>
        </w:rPr>
        <w:t>д</w:t>
      </w:r>
      <w:r w:rsidRPr="00A30907">
        <w:rPr>
          <w:rFonts w:ascii="Times New Roman" w:eastAsiaTheme="minorHAnsi" w:hAnsi="Times New Roman"/>
          <w:sz w:val="26"/>
          <w:szCs w:val="26"/>
        </w:rPr>
        <w:t>олгосрочного прогноза и (или) иных документов стратегическ</w:t>
      </w:r>
      <w:r w:rsidRPr="00A30907">
        <w:rPr>
          <w:rFonts w:ascii="Times New Roman" w:eastAsiaTheme="minorHAnsi" w:hAnsi="Times New Roman"/>
          <w:sz w:val="26"/>
          <w:szCs w:val="26"/>
        </w:rPr>
        <w:t>о</w:t>
      </w:r>
      <w:r w:rsidRPr="00A30907">
        <w:rPr>
          <w:rFonts w:ascii="Times New Roman" w:eastAsiaTheme="minorHAnsi" w:hAnsi="Times New Roman"/>
          <w:sz w:val="26"/>
          <w:szCs w:val="26"/>
        </w:rPr>
        <w:t xml:space="preserve">го планирования, оказывающих влияние на формирование </w:t>
      </w:r>
      <w:r w:rsidR="00EE0CF5" w:rsidRPr="00A30907">
        <w:rPr>
          <w:rFonts w:ascii="Times New Roman" w:eastAsiaTheme="minorHAnsi" w:hAnsi="Times New Roman"/>
          <w:sz w:val="26"/>
          <w:szCs w:val="26"/>
        </w:rPr>
        <w:t>б</w:t>
      </w:r>
      <w:r w:rsidRPr="00A30907">
        <w:rPr>
          <w:rFonts w:ascii="Times New Roman" w:eastAsiaTheme="minorHAnsi" w:hAnsi="Times New Roman"/>
          <w:sz w:val="26"/>
          <w:szCs w:val="26"/>
        </w:rPr>
        <w:t>юджетного прогноза</w:t>
      </w:r>
      <w:r w:rsidR="00EE0CF5" w:rsidRPr="00A30907">
        <w:rPr>
          <w:rFonts w:ascii="Times New Roman" w:eastAsiaTheme="minorHAnsi" w:hAnsi="Times New Roman"/>
          <w:sz w:val="26"/>
          <w:szCs w:val="26"/>
        </w:rPr>
        <w:t xml:space="preserve"> Чувашской Республики на долгосрочный период</w:t>
      </w:r>
      <w:r w:rsidRPr="00A30907">
        <w:rPr>
          <w:rFonts w:ascii="Times New Roman" w:eastAsiaTheme="minorHAnsi" w:hAnsi="Times New Roman"/>
          <w:sz w:val="26"/>
          <w:szCs w:val="26"/>
        </w:rPr>
        <w:t>;</w:t>
      </w:r>
    </w:p>
    <w:p w:rsidR="009923CA" w:rsidRPr="00A30907" w:rsidRDefault="009923CA" w:rsidP="00992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30907">
        <w:rPr>
          <w:rFonts w:ascii="Times New Roman" w:eastAsiaTheme="minorHAnsi" w:hAnsi="Times New Roman"/>
          <w:sz w:val="26"/>
          <w:szCs w:val="26"/>
        </w:rPr>
        <w:t>- изменения законодательства о налогах и сборах, условий осуществления межбюджетного регулирования.</w:t>
      </w:r>
    </w:p>
    <w:p w:rsidR="0043583A" w:rsidRPr="007308E3" w:rsidRDefault="0043583A" w:rsidP="00435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ET" w:hAnsi="TimesET"/>
          <w:color w:val="000000"/>
          <w:sz w:val="24"/>
          <w:szCs w:val="24"/>
        </w:rPr>
        <w:t>О</w:t>
      </w:r>
      <w:r w:rsidRPr="00782B76">
        <w:rPr>
          <w:rFonts w:ascii="TimesET" w:hAnsi="TimesET"/>
          <w:color w:val="000000"/>
          <w:sz w:val="24"/>
          <w:szCs w:val="24"/>
        </w:rPr>
        <w:t>беспечени</w:t>
      </w:r>
      <w:r>
        <w:rPr>
          <w:rFonts w:ascii="TimesET" w:hAnsi="TimesET"/>
          <w:color w:val="000000"/>
          <w:sz w:val="24"/>
          <w:szCs w:val="24"/>
        </w:rPr>
        <w:t>е</w:t>
      </w:r>
      <w:r w:rsidRPr="00782B76">
        <w:rPr>
          <w:rFonts w:ascii="TimesET" w:hAnsi="TimesET"/>
          <w:color w:val="000000"/>
          <w:sz w:val="24"/>
          <w:szCs w:val="24"/>
        </w:rPr>
        <w:t xml:space="preserve"> устойчивого функционирования бюджетной системы Ч</w:t>
      </w:r>
      <w:r w:rsidRPr="00782B76">
        <w:rPr>
          <w:rFonts w:ascii="TimesET" w:hAnsi="TimesET"/>
          <w:color w:val="000000"/>
          <w:sz w:val="24"/>
          <w:szCs w:val="24"/>
        </w:rPr>
        <w:t>у</w:t>
      </w:r>
      <w:r w:rsidRPr="00782B76">
        <w:rPr>
          <w:rFonts w:ascii="TimesET" w:hAnsi="TimesET"/>
          <w:color w:val="000000"/>
          <w:sz w:val="24"/>
          <w:szCs w:val="24"/>
        </w:rPr>
        <w:t xml:space="preserve">вашской Республики </w:t>
      </w:r>
      <w:r w:rsidR="000915F5">
        <w:rPr>
          <w:rFonts w:ascii="Times New Roman" w:hAnsi="Times New Roman"/>
          <w:bCs/>
          <w:sz w:val="26"/>
          <w:szCs w:val="26"/>
        </w:rPr>
        <w:t>предполагае</w:t>
      </w:r>
      <w:r w:rsidRPr="007308E3">
        <w:rPr>
          <w:rFonts w:ascii="Times New Roman" w:hAnsi="Times New Roman"/>
          <w:bCs/>
          <w:sz w:val="26"/>
          <w:szCs w:val="26"/>
        </w:rPr>
        <w:t xml:space="preserve">т сохранение </w:t>
      </w:r>
      <w:r w:rsidRPr="007308E3">
        <w:rPr>
          <w:rFonts w:ascii="Times New Roman" w:eastAsiaTheme="minorHAnsi" w:hAnsi="Times New Roman"/>
          <w:sz w:val="26"/>
          <w:szCs w:val="26"/>
        </w:rPr>
        <w:t xml:space="preserve">выбора </w:t>
      </w:r>
      <w:r w:rsidR="000915F5" w:rsidRPr="007308E3">
        <w:rPr>
          <w:rFonts w:ascii="Times New Roman" w:eastAsiaTheme="minorHAnsi" w:hAnsi="Times New Roman"/>
          <w:sz w:val="26"/>
          <w:szCs w:val="26"/>
        </w:rPr>
        <w:t>базового варианта разв</w:t>
      </w:r>
      <w:r w:rsidR="000915F5" w:rsidRPr="007308E3">
        <w:rPr>
          <w:rFonts w:ascii="Times New Roman" w:eastAsiaTheme="minorHAnsi" w:hAnsi="Times New Roman"/>
          <w:sz w:val="26"/>
          <w:szCs w:val="26"/>
        </w:rPr>
        <w:t>и</w:t>
      </w:r>
      <w:r w:rsidR="000915F5" w:rsidRPr="007308E3">
        <w:rPr>
          <w:rFonts w:ascii="Times New Roman" w:eastAsiaTheme="minorHAnsi" w:hAnsi="Times New Roman"/>
          <w:sz w:val="26"/>
          <w:szCs w:val="26"/>
        </w:rPr>
        <w:t xml:space="preserve">тия экономики </w:t>
      </w:r>
      <w:r w:rsidRPr="007308E3">
        <w:rPr>
          <w:rFonts w:ascii="Times New Roman" w:eastAsiaTheme="minorHAnsi" w:hAnsi="Times New Roman"/>
          <w:sz w:val="26"/>
          <w:szCs w:val="26"/>
        </w:rPr>
        <w:t xml:space="preserve">для подготовки изменений </w:t>
      </w:r>
      <w:r w:rsidRPr="007308E3">
        <w:rPr>
          <w:rFonts w:ascii="Times New Roman" w:eastAsiaTheme="minorHAnsi" w:hAnsi="Times New Roman"/>
          <w:bCs/>
          <w:sz w:val="26"/>
          <w:szCs w:val="26"/>
        </w:rPr>
        <w:t xml:space="preserve">бюджетного </w:t>
      </w:r>
      <w:hyperlink r:id="rId9" w:history="1">
        <w:proofErr w:type="gramStart"/>
        <w:r w:rsidRPr="007308E3">
          <w:rPr>
            <w:rFonts w:ascii="Times New Roman" w:eastAsiaTheme="minorHAnsi" w:hAnsi="Times New Roman"/>
            <w:bCs/>
            <w:sz w:val="26"/>
            <w:szCs w:val="26"/>
          </w:rPr>
          <w:t>прогноз</w:t>
        </w:r>
        <w:proofErr w:type="gramEnd"/>
      </w:hyperlink>
      <w:r w:rsidRPr="007308E3">
        <w:rPr>
          <w:rFonts w:ascii="Times New Roman" w:eastAsiaTheme="minorHAnsi" w:hAnsi="Times New Roman"/>
          <w:bCs/>
          <w:sz w:val="26"/>
          <w:szCs w:val="26"/>
        </w:rPr>
        <w:t>а Чувашской Ре</w:t>
      </w:r>
      <w:r w:rsidRPr="007308E3">
        <w:rPr>
          <w:rFonts w:ascii="Times New Roman" w:eastAsiaTheme="minorHAnsi" w:hAnsi="Times New Roman"/>
          <w:bCs/>
          <w:sz w:val="26"/>
          <w:szCs w:val="26"/>
        </w:rPr>
        <w:t>с</w:t>
      </w:r>
      <w:r w:rsidRPr="007308E3">
        <w:rPr>
          <w:rFonts w:ascii="Times New Roman" w:eastAsiaTheme="minorHAnsi" w:hAnsi="Times New Roman"/>
          <w:bCs/>
          <w:sz w:val="26"/>
          <w:szCs w:val="26"/>
        </w:rPr>
        <w:t xml:space="preserve">публики на период до 2030 года (далее </w:t>
      </w:r>
      <w:r w:rsidRPr="007308E3">
        <w:rPr>
          <w:rFonts w:ascii="Times New Roman" w:hAnsi="Times New Roman"/>
          <w:sz w:val="26"/>
          <w:szCs w:val="26"/>
        </w:rPr>
        <w:t xml:space="preserve">– </w:t>
      </w:r>
      <w:r w:rsidRPr="007308E3">
        <w:rPr>
          <w:rFonts w:ascii="Times New Roman" w:eastAsiaTheme="minorHAnsi" w:hAnsi="Times New Roman"/>
          <w:sz w:val="26"/>
          <w:szCs w:val="26"/>
        </w:rPr>
        <w:t>Бюджетный прогноз до 2030 года).</w:t>
      </w:r>
    </w:p>
    <w:p w:rsidR="0023215D" w:rsidRPr="00A30907" w:rsidRDefault="0023215D" w:rsidP="00232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A30907">
        <w:rPr>
          <w:rFonts w:ascii="Times New Roman" w:eastAsiaTheme="minorHAnsi" w:hAnsi="Times New Roman"/>
          <w:sz w:val="26"/>
          <w:szCs w:val="26"/>
        </w:rPr>
        <w:t>Изменения в Бюджетный прогноз до 2030 года</w:t>
      </w:r>
      <w:r w:rsidRPr="00A30907">
        <w:rPr>
          <w:rFonts w:ascii="Times New Roman" w:eastAsiaTheme="minorHAnsi" w:hAnsi="Times New Roman"/>
          <w:bCs/>
          <w:sz w:val="26"/>
          <w:szCs w:val="26"/>
        </w:rPr>
        <w:t xml:space="preserve">, утвержденный </w:t>
      </w:r>
      <w:r w:rsidRPr="00A30907">
        <w:rPr>
          <w:rFonts w:ascii="Times New Roman" w:hAnsi="Times New Roman"/>
          <w:sz w:val="26"/>
          <w:szCs w:val="26"/>
        </w:rPr>
        <w:t>постановл</w:t>
      </w:r>
      <w:r w:rsidRPr="00A30907">
        <w:rPr>
          <w:rFonts w:ascii="Times New Roman" w:hAnsi="Times New Roman"/>
          <w:sz w:val="26"/>
          <w:szCs w:val="26"/>
        </w:rPr>
        <w:t>е</w:t>
      </w:r>
      <w:r w:rsidRPr="00A30907">
        <w:rPr>
          <w:rFonts w:ascii="Times New Roman" w:hAnsi="Times New Roman"/>
          <w:sz w:val="26"/>
          <w:szCs w:val="26"/>
        </w:rPr>
        <w:t>нием Кабинета Министров Чувашской Республики от 28 января 2016 г</w:t>
      </w:r>
      <w:r w:rsidR="00D0007D">
        <w:rPr>
          <w:rFonts w:ascii="Times New Roman" w:hAnsi="Times New Roman"/>
          <w:sz w:val="26"/>
          <w:szCs w:val="26"/>
        </w:rPr>
        <w:t>.</w:t>
      </w:r>
      <w:r w:rsidRPr="00A30907">
        <w:rPr>
          <w:rFonts w:ascii="Times New Roman" w:hAnsi="Times New Roman"/>
          <w:sz w:val="26"/>
          <w:szCs w:val="26"/>
        </w:rPr>
        <w:t xml:space="preserve"> № 24, </w:t>
      </w:r>
      <w:r w:rsidRPr="00A30907">
        <w:rPr>
          <w:rFonts w:ascii="Times New Roman" w:eastAsiaTheme="minorHAnsi" w:hAnsi="Times New Roman"/>
          <w:sz w:val="26"/>
          <w:szCs w:val="26"/>
        </w:rPr>
        <w:t>по</w:t>
      </w:r>
      <w:r w:rsidRPr="00A30907">
        <w:rPr>
          <w:rFonts w:ascii="Times New Roman" w:eastAsiaTheme="minorHAnsi" w:hAnsi="Times New Roman"/>
          <w:sz w:val="26"/>
          <w:szCs w:val="26"/>
        </w:rPr>
        <w:t>д</w:t>
      </w:r>
      <w:r w:rsidRPr="00A30907">
        <w:rPr>
          <w:rFonts w:ascii="Times New Roman" w:eastAsiaTheme="minorHAnsi" w:hAnsi="Times New Roman"/>
          <w:sz w:val="26"/>
          <w:szCs w:val="26"/>
        </w:rPr>
        <w:t xml:space="preserve">готовлены в связи с уточнением основных показателей </w:t>
      </w:r>
      <w:r w:rsidRPr="00A30907">
        <w:rPr>
          <w:rFonts w:ascii="Times New Roman" w:hAnsi="Times New Roman"/>
          <w:sz w:val="26"/>
          <w:szCs w:val="26"/>
        </w:rPr>
        <w:t>прогноза социально-экономического развития Чувашской Республики на 201</w:t>
      </w:r>
      <w:r w:rsidR="00A30907" w:rsidRPr="00A30907">
        <w:rPr>
          <w:rFonts w:ascii="Times New Roman" w:hAnsi="Times New Roman"/>
          <w:sz w:val="26"/>
          <w:szCs w:val="26"/>
        </w:rPr>
        <w:t>8</w:t>
      </w:r>
      <w:r w:rsidRPr="00A30907">
        <w:rPr>
          <w:rFonts w:ascii="Times New Roman" w:hAnsi="Times New Roman"/>
          <w:sz w:val="26"/>
          <w:szCs w:val="26"/>
        </w:rPr>
        <w:t xml:space="preserve"> </w:t>
      </w:r>
      <w:r w:rsidR="0032309B" w:rsidRPr="00A30907">
        <w:rPr>
          <w:rFonts w:ascii="Times New Roman" w:hAnsi="Times New Roman"/>
          <w:sz w:val="26"/>
          <w:szCs w:val="26"/>
        </w:rPr>
        <w:t>–</w:t>
      </w:r>
      <w:r w:rsidRPr="00A30907">
        <w:rPr>
          <w:rFonts w:ascii="Times New Roman" w:hAnsi="Times New Roman"/>
          <w:sz w:val="26"/>
          <w:szCs w:val="26"/>
        </w:rPr>
        <w:t xml:space="preserve"> 20</w:t>
      </w:r>
      <w:r w:rsidR="00A30907" w:rsidRPr="00A30907">
        <w:rPr>
          <w:rFonts w:ascii="Times New Roman" w:hAnsi="Times New Roman"/>
          <w:sz w:val="26"/>
          <w:szCs w:val="26"/>
        </w:rPr>
        <w:t>20</w:t>
      </w:r>
      <w:r w:rsidRPr="00A30907">
        <w:rPr>
          <w:rFonts w:ascii="Times New Roman" w:hAnsi="Times New Roman"/>
          <w:sz w:val="26"/>
          <w:szCs w:val="26"/>
        </w:rPr>
        <w:t xml:space="preserve"> годы, а также в связи с уточнением данных по налоговым и неналоговым доходам </w:t>
      </w:r>
      <w:r w:rsidRPr="00A30907">
        <w:rPr>
          <w:rFonts w:ascii="Times New Roman" w:eastAsiaTheme="minorHAnsi" w:hAnsi="Times New Roman"/>
          <w:sz w:val="26"/>
          <w:szCs w:val="26"/>
        </w:rPr>
        <w:t>консолидир</w:t>
      </w:r>
      <w:r w:rsidRPr="00A30907">
        <w:rPr>
          <w:rFonts w:ascii="Times New Roman" w:eastAsiaTheme="minorHAnsi" w:hAnsi="Times New Roman"/>
          <w:sz w:val="26"/>
          <w:szCs w:val="26"/>
        </w:rPr>
        <w:t>о</w:t>
      </w:r>
      <w:r w:rsidRPr="00A30907">
        <w:rPr>
          <w:rFonts w:ascii="Times New Roman" w:eastAsiaTheme="minorHAnsi" w:hAnsi="Times New Roman"/>
          <w:sz w:val="26"/>
          <w:szCs w:val="26"/>
        </w:rPr>
        <w:t xml:space="preserve">ванного бюджета Чувашской Республики </w:t>
      </w:r>
      <w:r w:rsidRPr="00A30907">
        <w:rPr>
          <w:rFonts w:ascii="Times New Roman" w:hAnsi="Times New Roman"/>
          <w:sz w:val="26"/>
          <w:szCs w:val="26"/>
        </w:rPr>
        <w:t>на 201</w:t>
      </w:r>
      <w:r w:rsidR="00A30907" w:rsidRPr="00A30907">
        <w:rPr>
          <w:rFonts w:ascii="Times New Roman" w:hAnsi="Times New Roman"/>
          <w:sz w:val="26"/>
          <w:szCs w:val="26"/>
        </w:rPr>
        <w:t>8</w:t>
      </w:r>
      <w:r w:rsidR="0032309B" w:rsidRPr="00A30907">
        <w:rPr>
          <w:rFonts w:ascii="Times New Roman" w:hAnsi="Times New Roman"/>
          <w:sz w:val="26"/>
          <w:szCs w:val="26"/>
        </w:rPr>
        <w:t>–</w:t>
      </w:r>
      <w:r w:rsidRPr="00A30907">
        <w:rPr>
          <w:rFonts w:ascii="Times New Roman" w:hAnsi="Times New Roman"/>
          <w:sz w:val="26"/>
          <w:szCs w:val="26"/>
        </w:rPr>
        <w:t>20</w:t>
      </w:r>
      <w:r w:rsidR="00A30907" w:rsidRPr="00A30907">
        <w:rPr>
          <w:rFonts w:ascii="Times New Roman" w:hAnsi="Times New Roman"/>
          <w:sz w:val="26"/>
          <w:szCs w:val="26"/>
        </w:rPr>
        <w:t>20</w:t>
      </w:r>
      <w:r w:rsidRPr="00A30907">
        <w:rPr>
          <w:rFonts w:ascii="Times New Roman" w:hAnsi="Times New Roman"/>
          <w:sz w:val="26"/>
          <w:szCs w:val="26"/>
        </w:rPr>
        <w:t xml:space="preserve"> годы.</w:t>
      </w:r>
      <w:proofErr w:type="gramEnd"/>
    </w:p>
    <w:p w:rsidR="0036323B" w:rsidRPr="00BC520D" w:rsidRDefault="0036323B" w:rsidP="003632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520D">
        <w:rPr>
          <w:rFonts w:ascii="Times New Roman" w:hAnsi="Times New Roman"/>
          <w:sz w:val="26"/>
          <w:szCs w:val="26"/>
        </w:rPr>
        <w:t>В целом социально-экономическое развитие Чувашской Республики в янв</w:t>
      </w:r>
      <w:r w:rsidRPr="00BC520D">
        <w:rPr>
          <w:rFonts w:ascii="Times New Roman" w:hAnsi="Times New Roman"/>
          <w:sz w:val="26"/>
          <w:szCs w:val="26"/>
        </w:rPr>
        <w:t>а</w:t>
      </w:r>
      <w:r w:rsidRPr="00BC520D">
        <w:rPr>
          <w:rFonts w:ascii="Times New Roman" w:hAnsi="Times New Roman"/>
          <w:sz w:val="26"/>
          <w:szCs w:val="26"/>
        </w:rPr>
        <w:t>ре</w:t>
      </w:r>
      <w:r w:rsidRPr="00BC520D">
        <w:rPr>
          <w:rFonts w:ascii="Times New Roman" w:hAnsi="Times New Roman"/>
          <w:bCs/>
          <w:sz w:val="26"/>
          <w:szCs w:val="26"/>
        </w:rPr>
        <w:t>-</w:t>
      </w:r>
      <w:r w:rsidR="00A30907" w:rsidRPr="00BC520D">
        <w:rPr>
          <w:rFonts w:ascii="Times New Roman" w:hAnsi="Times New Roman"/>
          <w:bCs/>
          <w:sz w:val="26"/>
          <w:szCs w:val="26"/>
        </w:rPr>
        <w:t>августе</w:t>
      </w:r>
      <w:r w:rsidRPr="00BC520D">
        <w:rPr>
          <w:rFonts w:ascii="Times New Roman" w:hAnsi="Times New Roman"/>
          <w:bCs/>
          <w:sz w:val="26"/>
          <w:szCs w:val="26"/>
        </w:rPr>
        <w:t xml:space="preserve"> </w:t>
      </w:r>
      <w:r w:rsidRPr="00BC520D">
        <w:rPr>
          <w:rFonts w:ascii="Times New Roman" w:hAnsi="Times New Roman"/>
          <w:sz w:val="26"/>
          <w:szCs w:val="26"/>
        </w:rPr>
        <w:t>201</w:t>
      </w:r>
      <w:r w:rsidR="00A30907" w:rsidRPr="00BC520D">
        <w:rPr>
          <w:rFonts w:ascii="Times New Roman" w:hAnsi="Times New Roman"/>
          <w:sz w:val="26"/>
          <w:szCs w:val="26"/>
        </w:rPr>
        <w:t>7</w:t>
      </w:r>
      <w:r w:rsidRPr="00BC520D">
        <w:rPr>
          <w:rFonts w:ascii="Times New Roman" w:hAnsi="Times New Roman"/>
          <w:sz w:val="26"/>
          <w:szCs w:val="26"/>
        </w:rPr>
        <w:t> года характеризовалось ростом объемов промышленного прои</w:t>
      </w:r>
      <w:r w:rsidRPr="00BC520D">
        <w:rPr>
          <w:rFonts w:ascii="Times New Roman" w:hAnsi="Times New Roman"/>
          <w:sz w:val="26"/>
          <w:szCs w:val="26"/>
        </w:rPr>
        <w:t>з</w:t>
      </w:r>
      <w:r w:rsidRPr="00BC520D">
        <w:rPr>
          <w:rFonts w:ascii="Times New Roman" w:hAnsi="Times New Roman"/>
          <w:sz w:val="26"/>
          <w:szCs w:val="26"/>
        </w:rPr>
        <w:t xml:space="preserve">водства, </w:t>
      </w:r>
      <w:r w:rsidR="00BC520D" w:rsidRPr="00BC520D">
        <w:rPr>
          <w:rFonts w:ascii="Times New Roman" w:hAnsi="Times New Roman"/>
          <w:sz w:val="26"/>
          <w:szCs w:val="26"/>
        </w:rPr>
        <w:t>оборота розничной торговли, объема платных услуг населению, увелич</w:t>
      </w:r>
      <w:r w:rsidR="00BC520D" w:rsidRPr="00BC520D">
        <w:rPr>
          <w:rFonts w:ascii="Times New Roman" w:hAnsi="Times New Roman"/>
          <w:sz w:val="26"/>
          <w:szCs w:val="26"/>
        </w:rPr>
        <w:t>е</w:t>
      </w:r>
      <w:r w:rsidR="00BC520D" w:rsidRPr="00BC520D">
        <w:rPr>
          <w:rFonts w:ascii="Times New Roman" w:hAnsi="Times New Roman"/>
          <w:sz w:val="26"/>
          <w:szCs w:val="26"/>
        </w:rPr>
        <w:t>нием номинальной и реальной среднемесячной заработной платы, при этом инфл</w:t>
      </w:r>
      <w:r w:rsidR="00BC520D" w:rsidRPr="00BC520D">
        <w:rPr>
          <w:rFonts w:ascii="Times New Roman" w:hAnsi="Times New Roman"/>
          <w:sz w:val="26"/>
          <w:szCs w:val="26"/>
        </w:rPr>
        <w:t>я</w:t>
      </w:r>
      <w:r w:rsidR="00BC520D" w:rsidRPr="00BC520D">
        <w:rPr>
          <w:rFonts w:ascii="Times New Roman" w:hAnsi="Times New Roman"/>
          <w:sz w:val="26"/>
          <w:szCs w:val="26"/>
        </w:rPr>
        <w:t>ция сложилась ниже, чем в среднем по России.</w:t>
      </w:r>
    </w:p>
    <w:p w:rsidR="00127002" w:rsidRPr="00B92432" w:rsidRDefault="00D41B64" w:rsidP="00D41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92432">
        <w:rPr>
          <w:rFonts w:ascii="Times New Roman" w:hAnsi="Times New Roman"/>
          <w:sz w:val="26"/>
          <w:szCs w:val="26"/>
        </w:rPr>
        <w:t xml:space="preserve"> </w:t>
      </w:r>
      <w:r w:rsidR="00C50CB3" w:rsidRPr="00B92432">
        <w:rPr>
          <w:rFonts w:ascii="Times New Roman" w:hAnsi="Times New Roman"/>
          <w:sz w:val="26"/>
          <w:szCs w:val="26"/>
        </w:rPr>
        <w:tab/>
      </w:r>
      <w:r w:rsidR="0023215D" w:rsidRPr="00B92432">
        <w:rPr>
          <w:rFonts w:ascii="Times New Roman" w:hAnsi="Times New Roman"/>
          <w:sz w:val="26"/>
          <w:szCs w:val="26"/>
        </w:rPr>
        <w:t>П</w:t>
      </w:r>
      <w:r w:rsidR="00C50CB3" w:rsidRPr="00B92432">
        <w:rPr>
          <w:rFonts w:ascii="Times New Roman" w:hAnsi="Times New Roman"/>
          <w:sz w:val="26"/>
          <w:szCs w:val="26"/>
        </w:rPr>
        <w:t>озитивные тенденции, сложившиеся в экономике Чувашской Республики в январе</w:t>
      </w:r>
      <w:r w:rsidR="00C50CB3" w:rsidRPr="00B92432">
        <w:rPr>
          <w:rFonts w:ascii="Times New Roman" w:hAnsi="Times New Roman"/>
          <w:bCs/>
          <w:sz w:val="26"/>
          <w:szCs w:val="26"/>
        </w:rPr>
        <w:t>-</w:t>
      </w:r>
      <w:r w:rsidR="00A30907" w:rsidRPr="00B92432">
        <w:rPr>
          <w:rFonts w:ascii="Times New Roman" w:hAnsi="Times New Roman"/>
          <w:bCs/>
          <w:sz w:val="26"/>
          <w:szCs w:val="26"/>
        </w:rPr>
        <w:t>августе</w:t>
      </w:r>
      <w:r w:rsidR="00C50CB3" w:rsidRPr="00B92432">
        <w:rPr>
          <w:rFonts w:ascii="Times New Roman" w:hAnsi="Times New Roman"/>
          <w:bCs/>
          <w:sz w:val="26"/>
          <w:szCs w:val="26"/>
        </w:rPr>
        <w:t xml:space="preserve"> </w:t>
      </w:r>
      <w:r w:rsidR="00C50CB3" w:rsidRPr="00B92432">
        <w:rPr>
          <w:rFonts w:ascii="Times New Roman" w:hAnsi="Times New Roman"/>
          <w:sz w:val="26"/>
          <w:szCs w:val="26"/>
        </w:rPr>
        <w:t>201</w:t>
      </w:r>
      <w:r w:rsidR="00A30907" w:rsidRPr="00B92432">
        <w:rPr>
          <w:rFonts w:ascii="Times New Roman" w:hAnsi="Times New Roman"/>
          <w:sz w:val="26"/>
          <w:szCs w:val="26"/>
        </w:rPr>
        <w:t>7</w:t>
      </w:r>
      <w:r w:rsidR="00C50CB3" w:rsidRPr="00B92432">
        <w:rPr>
          <w:rFonts w:ascii="Times New Roman" w:hAnsi="Times New Roman"/>
          <w:sz w:val="26"/>
          <w:szCs w:val="26"/>
        </w:rPr>
        <w:t> года, способствовали изменению основных показателей пр</w:t>
      </w:r>
      <w:r w:rsidR="00C50CB3" w:rsidRPr="00B92432">
        <w:rPr>
          <w:rFonts w:ascii="Times New Roman" w:hAnsi="Times New Roman"/>
          <w:sz w:val="26"/>
          <w:szCs w:val="26"/>
        </w:rPr>
        <w:t>о</w:t>
      </w:r>
      <w:r w:rsidR="00C50CB3" w:rsidRPr="00B92432">
        <w:rPr>
          <w:rFonts w:ascii="Times New Roman" w:hAnsi="Times New Roman"/>
          <w:sz w:val="26"/>
          <w:szCs w:val="26"/>
        </w:rPr>
        <w:t>гноза социально-экономического развития Чувашской Республики на 201</w:t>
      </w:r>
      <w:r w:rsidR="00A30907" w:rsidRPr="00B92432">
        <w:rPr>
          <w:rFonts w:ascii="Times New Roman" w:hAnsi="Times New Roman"/>
          <w:sz w:val="26"/>
          <w:szCs w:val="26"/>
        </w:rPr>
        <w:t>8</w:t>
      </w:r>
      <w:r w:rsidR="0032309B" w:rsidRPr="00B92432">
        <w:rPr>
          <w:rFonts w:ascii="Times New Roman" w:hAnsi="Times New Roman"/>
          <w:sz w:val="26"/>
          <w:szCs w:val="26"/>
        </w:rPr>
        <w:t>–</w:t>
      </w:r>
      <w:r w:rsidR="00C50CB3" w:rsidRPr="00B92432">
        <w:rPr>
          <w:rFonts w:ascii="Times New Roman" w:hAnsi="Times New Roman"/>
          <w:sz w:val="26"/>
          <w:szCs w:val="26"/>
        </w:rPr>
        <w:t>20</w:t>
      </w:r>
      <w:r w:rsidR="00A30907" w:rsidRPr="00B92432">
        <w:rPr>
          <w:rFonts w:ascii="Times New Roman" w:hAnsi="Times New Roman"/>
          <w:sz w:val="26"/>
          <w:szCs w:val="26"/>
        </w:rPr>
        <w:t>20</w:t>
      </w:r>
      <w:r w:rsidR="00C50CB3" w:rsidRPr="00B92432">
        <w:rPr>
          <w:rFonts w:ascii="Times New Roman" w:hAnsi="Times New Roman"/>
          <w:sz w:val="26"/>
          <w:szCs w:val="26"/>
        </w:rPr>
        <w:t xml:space="preserve"> годы</w:t>
      </w:r>
      <w:r w:rsidR="00A424FD" w:rsidRPr="00B92432">
        <w:rPr>
          <w:rFonts w:ascii="Times New Roman" w:hAnsi="Times New Roman"/>
          <w:sz w:val="26"/>
          <w:szCs w:val="26"/>
        </w:rPr>
        <w:t>.</w:t>
      </w:r>
      <w:r w:rsidR="00C50CB3" w:rsidRPr="00B92432">
        <w:rPr>
          <w:rFonts w:ascii="Times New Roman" w:hAnsi="Times New Roman"/>
          <w:sz w:val="26"/>
          <w:szCs w:val="26"/>
        </w:rPr>
        <w:t xml:space="preserve"> </w:t>
      </w:r>
    </w:p>
    <w:p w:rsidR="00C50CB3" w:rsidRPr="00BA39BD" w:rsidRDefault="00A424FD" w:rsidP="00D0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BA39BD">
        <w:rPr>
          <w:rFonts w:ascii="Times New Roman" w:hAnsi="Times New Roman"/>
          <w:sz w:val="26"/>
          <w:szCs w:val="26"/>
          <w:u w:val="single"/>
        </w:rPr>
        <w:t>В</w:t>
      </w:r>
      <w:r w:rsidR="00C50CB3" w:rsidRPr="00BA39BD">
        <w:rPr>
          <w:rFonts w:ascii="Times New Roman" w:hAnsi="Times New Roman"/>
          <w:sz w:val="26"/>
          <w:szCs w:val="26"/>
          <w:u w:val="single"/>
        </w:rPr>
        <w:t xml:space="preserve"> сторону увеличения</w:t>
      </w:r>
      <w:r w:rsidRPr="00BA39BD">
        <w:rPr>
          <w:rFonts w:ascii="Times New Roman" w:hAnsi="Times New Roman"/>
          <w:sz w:val="26"/>
          <w:szCs w:val="26"/>
          <w:u w:val="single"/>
        </w:rPr>
        <w:t xml:space="preserve"> изменились следующие показатели</w:t>
      </w:r>
      <w:r w:rsidR="00C50CB3" w:rsidRPr="00BA39BD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D24071" w:rsidRDefault="00D24071" w:rsidP="00D0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A39BD">
        <w:rPr>
          <w:rFonts w:ascii="Times New Roman" w:hAnsi="Times New Roman"/>
          <w:i/>
          <w:sz w:val="26"/>
          <w:szCs w:val="26"/>
        </w:rPr>
        <w:t xml:space="preserve">- </w:t>
      </w:r>
      <w:r>
        <w:rPr>
          <w:rFonts w:ascii="Times New Roman" w:hAnsi="Times New Roman"/>
          <w:i/>
          <w:sz w:val="26"/>
          <w:szCs w:val="26"/>
        </w:rPr>
        <w:t>и</w:t>
      </w:r>
      <w:r w:rsidRPr="00D24071">
        <w:rPr>
          <w:rFonts w:ascii="Times New Roman" w:hAnsi="Times New Roman"/>
          <w:i/>
          <w:sz w:val="26"/>
          <w:szCs w:val="26"/>
        </w:rPr>
        <w:t>нвестиции в основной капитал по всем источникам финансирования</w:t>
      </w:r>
      <w:r w:rsidRPr="00BA39BD">
        <w:rPr>
          <w:rFonts w:ascii="Times New Roman" w:hAnsi="Times New Roman"/>
          <w:i/>
          <w:sz w:val="26"/>
          <w:szCs w:val="26"/>
        </w:rPr>
        <w:t xml:space="preserve">  </w:t>
      </w:r>
    </w:p>
    <w:p w:rsidR="00D24071" w:rsidRPr="00D24071" w:rsidRDefault="00D24071" w:rsidP="00D0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4071">
        <w:rPr>
          <w:rFonts w:ascii="Times New Roman" w:hAnsi="Times New Roman"/>
          <w:sz w:val="26"/>
          <w:szCs w:val="26"/>
        </w:rPr>
        <w:t>По оценке в 2017 году в основной капитал республики за счет всех источн</w:t>
      </w:r>
      <w:r w:rsidRPr="00D24071">
        <w:rPr>
          <w:rFonts w:ascii="Times New Roman" w:hAnsi="Times New Roman"/>
          <w:sz w:val="26"/>
          <w:szCs w:val="26"/>
        </w:rPr>
        <w:t>и</w:t>
      </w:r>
      <w:r w:rsidRPr="00D24071">
        <w:rPr>
          <w:rFonts w:ascii="Times New Roman" w:hAnsi="Times New Roman"/>
          <w:sz w:val="26"/>
          <w:szCs w:val="26"/>
        </w:rPr>
        <w:t xml:space="preserve">ков финансирования предусмотрено вложить 50179,6 млн. рублей инвестиций или  </w:t>
      </w:r>
      <w:r w:rsidRPr="00D24071">
        <w:rPr>
          <w:rFonts w:ascii="Times New Roman" w:hAnsi="Times New Roman"/>
          <w:sz w:val="26"/>
          <w:szCs w:val="26"/>
        </w:rPr>
        <w:lastRenderedPageBreak/>
        <w:t>100,1% в сопоставимых ценах к предыдущему году</w:t>
      </w:r>
      <w:r>
        <w:rPr>
          <w:rFonts w:ascii="Times New Roman" w:hAnsi="Times New Roman"/>
          <w:sz w:val="26"/>
          <w:szCs w:val="26"/>
        </w:rPr>
        <w:t xml:space="preserve"> (прогнозировался – 50170,0</w:t>
      </w:r>
      <w:r w:rsidRPr="00D24071">
        <w:rPr>
          <w:rFonts w:ascii="Times New Roman" w:hAnsi="Times New Roman"/>
          <w:sz w:val="26"/>
          <w:szCs w:val="26"/>
        </w:rPr>
        <w:t xml:space="preserve"> млн. рублей)</w:t>
      </w:r>
      <w:r w:rsidR="00D0007D">
        <w:rPr>
          <w:rFonts w:ascii="Times New Roman" w:hAnsi="Times New Roman"/>
          <w:sz w:val="26"/>
          <w:szCs w:val="26"/>
        </w:rPr>
        <w:t>;</w:t>
      </w:r>
    </w:p>
    <w:p w:rsidR="00D24071" w:rsidRPr="00D24071" w:rsidRDefault="00D24071" w:rsidP="00D24071">
      <w:pPr>
        <w:pStyle w:val="12"/>
        <w:shd w:val="clear" w:color="auto" w:fill="FFFFFF"/>
        <w:ind w:firstLine="709"/>
        <w:jc w:val="both"/>
        <w:rPr>
          <w:i/>
          <w:sz w:val="26"/>
          <w:szCs w:val="26"/>
        </w:rPr>
      </w:pPr>
      <w:r w:rsidRPr="00D24071">
        <w:rPr>
          <w:i/>
          <w:sz w:val="26"/>
          <w:szCs w:val="26"/>
        </w:rPr>
        <w:t>- объем работ, выполненных по виду деятельности «Строительство»</w:t>
      </w:r>
    </w:p>
    <w:p w:rsidR="00D24071" w:rsidRPr="00150999" w:rsidRDefault="00D24071" w:rsidP="00D24071">
      <w:pPr>
        <w:pStyle w:val="12"/>
        <w:shd w:val="clear" w:color="auto" w:fill="FFFFFF"/>
        <w:ind w:firstLine="709"/>
        <w:jc w:val="both"/>
        <w:rPr>
          <w:sz w:val="26"/>
          <w:szCs w:val="26"/>
        </w:rPr>
      </w:pPr>
      <w:r w:rsidRPr="00D24071">
        <w:rPr>
          <w:sz w:val="26"/>
          <w:szCs w:val="26"/>
        </w:rPr>
        <w:t>В 2017 году по оценке составит 35694,9 млн. рублей (прогнозировался – 34993,8 млн. рублей), или 100,1% (в сопоставимых ценах) к уровню 2016 года;</w:t>
      </w:r>
      <w:r w:rsidRPr="00150999">
        <w:rPr>
          <w:sz w:val="26"/>
          <w:szCs w:val="26"/>
        </w:rPr>
        <w:t xml:space="preserve"> </w:t>
      </w:r>
    </w:p>
    <w:p w:rsidR="00D24071" w:rsidRPr="00D24071" w:rsidRDefault="00D24071" w:rsidP="00D24071">
      <w:pPr>
        <w:pStyle w:val="12"/>
        <w:shd w:val="clear" w:color="auto" w:fill="FFFFFF"/>
        <w:ind w:firstLine="709"/>
        <w:jc w:val="both"/>
        <w:rPr>
          <w:i/>
          <w:sz w:val="26"/>
          <w:szCs w:val="26"/>
        </w:rPr>
      </w:pPr>
      <w:r w:rsidRPr="00D24071">
        <w:rPr>
          <w:i/>
          <w:sz w:val="26"/>
          <w:szCs w:val="26"/>
        </w:rPr>
        <w:t xml:space="preserve">- объем </w:t>
      </w:r>
      <w:r>
        <w:rPr>
          <w:i/>
          <w:sz w:val="26"/>
          <w:szCs w:val="26"/>
        </w:rPr>
        <w:t>п</w:t>
      </w:r>
      <w:r w:rsidRPr="00D24071">
        <w:rPr>
          <w:i/>
          <w:sz w:val="26"/>
          <w:szCs w:val="26"/>
        </w:rPr>
        <w:t>латны</w:t>
      </w:r>
      <w:r>
        <w:rPr>
          <w:i/>
          <w:sz w:val="26"/>
          <w:szCs w:val="26"/>
        </w:rPr>
        <w:t>х</w:t>
      </w:r>
      <w:r w:rsidRPr="00D24071">
        <w:rPr>
          <w:i/>
          <w:sz w:val="26"/>
          <w:szCs w:val="26"/>
        </w:rPr>
        <w:t xml:space="preserve"> услуг населению</w:t>
      </w:r>
    </w:p>
    <w:p w:rsidR="00D24071" w:rsidRPr="00150999" w:rsidRDefault="00D24071" w:rsidP="00D24071">
      <w:pPr>
        <w:pStyle w:val="12"/>
        <w:shd w:val="clear" w:color="auto" w:fill="FFFFFF"/>
        <w:ind w:firstLine="709"/>
        <w:jc w:val="both"/>
        <w:rPr>
          <w:sz w:val="26"/>
          <w:szCs w:val="26"/>
        </w:rPr>
      </w:pPr>
      <w:r w:rsidRPr="00D24071">
        <w:rPr>
          <w:sz w:val="26"/>
          <w:szCs w:val="26"/>
        </w:rPr>
        <w:t xml:space="preserve">В 2017 году по оценке составит </w:t>
      </w:r>
      <w:r>
        <w:rPr>
          <w:sz w:val="26"/>
          <w:szCs w:val="26"/>
        </w:rPr>
        <w:t>47030,1</w:t>
      </w:r>
      <w:r w:rsidRPr="00D24071">
        <w:rPr>
          <w:sz w:val="26"/>
          <w:szCs w:val="26"/>
        </w:rPr>
        <w:t xml:space="preserve"> млн. рублей (прогнозировался – </w:t>
      </w:r>
      <w:r>
        <w:rPr>
          <w:sz w:val="26"/>
          <w:szCs w:val="26"/>
        </w:rPr>
        <w:t>46994,7</w:t>
      </w:r>
      <w:r w:rsidRPr="00D24071">
        <w:rPr>
          <w:sz w:val="26"/>
          <w:szCs w:val="26"/>
        </w:rPr>
        <w:t xml:space="preserve"> млн. рублей), или 100,</w:t>
      </w:r>
      <w:r>
        <w:rPr>
          <w:sz w:val="26"/>
          <w:szCs w:val="26"/>
        </w:rPr>
        <w:t>5</w:t>
      </w:r>
      <w:r w:rsidRPr="00D24071">
        <w:rPr>
          <w:sz w:val="26"/>
          <w:szCs w:val="26"/>
        </w:rPr>
        <w:t>% к уровню 2016 года;</w:t>
      </w:r>
      <w:r w:rsidRPr="00150999">
        <w:rPr>
          <w:sz w:val="26"/>
          <w:szCs w:val="26"/>
        </w:rPr>
        <w:t xml:space="preserve"> </w:t>
      </w:r>
    </w:p>
    <w:p w:rsidR="00CE604A" w:rsidRPr="00D24071" w:rsidRDefault="00CE604A" w:rsidP="00CE604A">
      <w:pPr>
        <w:pStyle w:val="12"/>
        <w:shd w:val="clear" w:color="auto" w:fill="FFFFFF"/>
        <w:ind w:firstLine="709"/>
        <w:jc w:val="both"/>
        <w:rPr>
          <w:i/>
          <w:sz w:val="26"/>
          <w:szCs w:val="26"/>
        </w:rPr>
      </w:pPr>
      <w:r w:rsidRPr="00D24071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п</w:t>
      </w:r>
      <w:r w:rsidRPr="00CE604A">
        <w:rPr>
          <w:i/>
          <w:sz w:val="26"/>
          <w:szCs w:val="26"/>
        </w:rPr>
        <w:t>рибыль прибыльных крупных и средних организаций</w:t>
      </w:r>
    </w:p>
    <w:p w:rsidR="00CE604A" w:rsidRPr="00150999" w:rsidRDefault="00CE604A" w:rsidP="00CE604A">
      <w:pPr>
        <w:pStyle w:val="12"/>
        <w:shd w:val="clear" w:color="auto" w:fill="FFFFFF"/>
        <w:ind w:firstLine="709"/>
        <w:jc w:val="both"/>
        <w:rPr>
          <w:sz w:val="26"/>
          <w:szCs w:val="26"/>
        </w:rPr>
      </w:pPr>
      <w:r w:rsidRPr="00D24071">
        <w:rPr>
          <w:sz w:val="26"/>
          <w:szCs w:val="26"/>
        </w:rPr>
        <w:t xml:space="preserve">В 2017 году по оценке составит </w:t>
      </w:r>
      <w:r>
        <w:rPr>
          <w:sz w:val="26"/>
          <w:szCs w:val="26"/>
        </w:rPr>
        <w:t>22300,0</w:t>
      </w:r>
      <w:r w:rsidRPr="00D24071">
        <w:rPr>
          <w:sz w:val="26"/>
          <w:szCs w:val="26"/>
        </w:rPr>
        <w:t xml:space="preserve"> млн. рублей (прогнозировался – </w:t>
      </w:r>
      <w:r>
        <w:rPr>
          <w:sz w:val="26"/>
          <w:szCs w:val="26"/>
        </w:rPr>
        <w:t>18000,0 млн. рублей).</w:t>
      </w:r>
      <w:r w:rsidRPr="00150999">
        <w:rPr>
          <w:sz w:val="26"/>
          <w:szCs w:val="26"/>
        </w:rPr>
        <w:t xml:space="preserve"> </w:t>
      </w:r>
    </w:p>
    <w:p w:rsidR="00D24071" w:rsidRPr="00CE604A" w:rsidRDefault="00CE604A" w:rsidP="00D03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CE604A">
        <w:rPr>
          <w:rFonts w:ascii="Times New Roman" w:hAnsi="Times New Roman"/>
          <w:sz w:val="26"/>
          <w:szCs w:val="26"/>
          <w:u w:val="single"/>
        </w:rPr>
        <w:t>В сторону снижения изменился показатель индекса потребительских цен.</w:t>
      </w:r>
    </w:p>
    <w:p w:rsidR="00CE604A" w:rsidRPr="00CE604A" w:rsidRDefault="00CE604A" w:rsidP="00CE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604A">
        <w:rPr>
          <w:rFonts w:ascii="Times New Roman" w:hAnsi="Times New Roman"/>
          <w:sz w:val="26"/>
          <w:szCs w:val="26"/>
        </w:rPr>
        <w:t>В</w:t>
      </w:r>
      <w:r w:rsidRPr="00CE604A">
        <w:rPr>
          <w:rFonts w:ascii="Times New Roman" w:hAnsi="Times New Roman"/>
          <w:bCs/>
          <w:sz w:val="26"/>
          <w:szCs w:val="26"/>
        </w:rPr>
        <w:t xml:space="preserve"> 2017 году ожидается замедление инфляции вследствие значительного сж</w:t>
      </w:r>
      <w:r w:rsidRPr="00CE604A">
        <w:rPr>
          <w:rFonts w:ascii="Times New Roman" w:hAnsi="Times New Roman"/>
          <w:bCs/>
          <w:sz w:val="26"/>
          <w:szCs w:val="26"/>
        </w:rPr>
        <w:t>а</w:t>
      </w:r>
      <w:r w:rsidRPr="00CE604A">
        <w:rPr>
          <w:rFonts w:ascii="Times New Roman" w:hAnsi="Times New Roman"/>
          <w:bCs/>
          <w:sz w:val="26"/>
          <w:szCs w:val="26"/>
        </w:rPr>
        <w:t>тия платежеспособного спроса населения</w:t>
      </w:r>
      <w:r w:rsidR="007E43BF">
        <w:rPr>
          <w:rFonts w:ascii="Times New Roman" w:hAnsi="Times New Roman"/>
          <w:bCs/>
          <w:sz w:val="26"/>
          <w:szCs w:val="26"/>
        </w:rPr>
        <w:t>.</w:t>
      </w:r>
      <w:r w:rsidRPr="00CE604A">
        <w:rPr>
          <w:rFonts w:ascii="Times New Roman" w:hAnsi="Times New Roman"/>
          <w:bCs/>
          <w:sz w:val="26"/>
          <w:szCs w:val="26"/>
        </w:rPr>
        <w:t xml:space="preserve"> Сохранению инфляции на достаточно низком уровне способствует постепенная сбалансированность товарных рынков и рост предложения товаров, а также снижение темпов роста стоимости услуг ж</w:t>
      </w:r>
      <w:r w:rsidRPr="00CE604A">
        <w:rPr>
          <w:rFonts w:ascii="Times New Roman" w:hAnsi="Times New Roman"/>
          <w:bCs/>
          <w:sz w:val="26"/>
          <w:szCs w:val="26"/>
        </w:rPr>
        <w:t>и</w:t>
      </w:r>
      <w:r w:rsidRPr="00CE604A">
        <w:rPr>
          <w:rFonts w:ascii="Times New Roman" w:hAnsi="Times New Roman"/>
          <w:bCs/>
          <w:sz w:val="26"/>
          <w:szCs w:val="26"/>
        </w:rPr>
        <w:t>лищно-коммунального хозяйства.</w:t>
      </w:r>
      <w:r w:rsidRPr="00CE604A">
        <w:rPr>
          <w:rFonts w:ascii="Times New Roman" w:hAnsi="Times New Roman"/>
          <w:sz w:val="26"/>
          <w:szCs w:val="26"/>
        </w:rPr>
        <w:t xml:space="preserve"> К концу 2017 года по оценке инфляция составит не более 4,3% (к декабрю предыдущего года) (прогнозировалась – 6,1%).</w:t>
      </w:r>
    </w:p>
    <w:p w:rsidR="007E43BF" w:rsidRDefault="00CE604A" w:rsidP="00CE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92432">
        <w:rPr>
          <w:rFonts w:ascii="Times New Roman" w:eastAsiaTheme="minorHAnsi" w:hAnsi="Times New Roman"/>
          <w:sz w:val="26"/>
          <w:szCs w:val="26"/>
        </w:rPr>
        <w:t xml:space="preserve"> </w:t>
      </w:r>
      <w:r w:rsidRPr="00B92432">
        <w:rPr>
          <w:rFonts w:ascii="Times New Roman" w:hAnsi="Times New Roman"/>
          <w:sz w:val="26"/>
          <w:szCs w:val="26"/>
        </w:rPr>
        <w:t>Обобщающим показателем социально-экономического развития региона я</w:t>
      </w:r>
      <w:r w:rsidRPr="00B92432">
        <w:rPr>
          <w:rFonts w:ascii="Times New Roman" w:hAnsi="Times New Roman"/>
          <w:sz w:val="26"/>
          <w:szCs w:val="26"/>
        </w:rPr>
        <w:t>в</w:t>
      </w:r>
      <w:r w:rsidRPr="00B92432">
        <w:rPr>
          <w:rFonts w:ascii="Times New Roman" w:hAnsi="Times New Roman"/>
          <w:sz w:val="26"/>
          <w:szCs w:val="26"/>
        </w:rPr>
        <w:t>ляется объем валового регионального продукта</w:t>
      </w:r>
      <w:r w:rsidR="00B92432">
        <w:rPr>
          <w:rFonts w:ascii="Times New Roman" w:hAnsi="Times New Roman"/>
          <w:sz w:val="26"/>
          <w:szCs w:val="26"/>
        </w:rPr>
        <w:t xml:space="preserve"> </w:t>
      </w:r>
      <w:r w:rsidR="007E43BF" w:rsidRPr="00B92432">
        <w:rPr>
          <w:rFonts w:ascii="Times New Roman" w:hAnsi="Times New Roman"/>
          <w:sz w:val="26"/>
          <w:szCs w:val="26"/>
        </w:rPr>
        <w:t>(далее – ВРП),</w:t>
      </w:r>
      <w:r w:rsidRPr="00B92432">
        <w:rPr>
          <w:rFonts w:ascii="Times New Roman" w:hAnsi="Times New Roman"/>
          <w:sz w:val="26"/>
          <w:szCs w:val="26"/>
        </w:rPr>
        <w:t xml:space="preserve"> характеризующий достигнутый уровень производства товаров и услуг по основным отраслям экон</w:t>
      </w:r>
      <w:r w:rsidRPr="00B92432">
        <w:rPr>
          <w:rFonts w:ascii="Times New Roman" w:hAnsi="Times New Roman"/>
          <w:sz w:val="26"/>
          <w:szCs w:val="26"/>
        </w:rPr>
        <w:t>о</w:t>
      </w:r>
      <w:r w:rsidRPr="00B92432">
        <w:rPr>
          <w:rFonts w:ascii="Times New Roman" w:hAnsi="Times New Roman"/>
          <w:sz w:val="26"/>
          <w:szCs w:val="26"/>
        </w:rPr>
        <w:t xml:space="preserve">мики. 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Индекс физического объема ВРП в 2017 году по оценке составит 100,2% к уровню 2016 года. На рост данного показателя окажут влияние восстановительные процессы социально-экономического развития республики. В</w:t>
      </w:r>
      <w:r w:rsidR="00D0007D">
        <w:rPr>
          <w:rFonts w:ascii="Times New Roman" w:eastAsiaTheme="minorHAnsi" w:hAnsi="Times New Roman"/>
          <w:sz w:val="26"/>
          <w:szCs w:val="26"/>
        </w:rPr>
        <w:t>, ч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астности</w:t>
      </w:r>
      <w:r w:rsidR="00D0007D">
        <w:rPr>
          <w:rFonts w:ascii="Times New Roman" w:eastAsiaTheme="minorHAnsi" w:hAnsi="Times New Roman"/>
          <w:sz w:val="26"/>
          <w:szCs w:val="26"/>
        </w:rPr>
        <w:t xml:space="preserve">, 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ожидае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т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ся рост промышленного и сельскохозяйственного производства, инвестиций в о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с</w:t>
      </w:r>
      <w:r w:rsidR="007E43BF" w:rsidRPr="007E43BF">
        <w:rPr>
          <w:rFonts w:ascii="Times New Roman" w:eastAsiaTheme="minorHAnsi" w:hAnsi="Times New Roman"/>
          <w:sz w:val="26"/>
          <w:szCs w:val="26"/>
        </w:rPr>
        <w:t>новной капитал, оборота розничной торговли и др.</w:t>
      </w:r>
    </w:p>
    <w:p w:rsidR="0043583A" w:rsidRPr="00BD544C" w:rsidRDefault="0043583A" w:rsidP="00CE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52439C" w:rsidRPr="00D648E0" w:rsidRDefault="0052439C" w:rsidP="0052439C">
      <w:pPr>
        <w:spacing w:after="0" w:line="240" w:lineRule="auto"/>
        <w:jc w:val="center"/>
        <w:rPr>
          <w:rFonts w:ascii="TimesET" w:hAnsi="TimesET"/>
        </w:rPr>
      </w:pPr>
      <w:r w:rsidRPr="00D648E0">
        <w:rPr>
          <w:rFonts w:ascii="TimesET" w:hAnsi="TimesET"/>
        </w:rPr>
        <w:t>Основные показатели прогноза социально-экономического развития</w:t>
      </w:r>
    </w:p>
    <w:p w:rsidR="0052439C" w:rsidRDefault="0052439C" w:rsidP="0052439C">
      <w:pPr>
        <w:spacing w:after="0" w:line="240" w:lineRule="auto"/>
        <w:jc w:val="center"/>
        <w:rPr>
          <w:rFonts w:ascii="TimesET" w:hAnsi="TimesET"/>
        </w:rPr>
      </w:pPr>
      <w:r w:rsidRPr="00D648E0">
        <w:rPr>
          <w:rFonts w:ascii="TimesET" w:hAnsi="TimesET"/>
        </w:rPr>
        <w:t>Чувашской Республики на 201</w:t>
      </w:r>
      <w:r w:rsidR="00D648E0" w:rsidRPr="00D648E0">
        <w:rPr>
          <w:rFonts w:ascii="TimesET" w:hAnsi="TimesET"/>
        </w:rPr>
        <w:t>8</w:t>
      </w:r>
      <w:r w:rsidRPr="00D648E0">
        <w:rPr>
          <w:rFonts w:ascii="TimesET" w:hAnsi="TimesET"/>
        </w:rPr>
        <w:t>–20</w:t>
      </w:r>
      <w:r w:rsidR="00D648E0" w:rsidRPr="00D648E0">
        <w:rPr>
          <w:rFonts w:ascii="TimesET" w:hAnsi="TimesET"/>
        </w:rPr>
        <w:t>20</w:t>
      </w:r>
      <w:r w:rsidRPr="00D648E0">
        <w:rPr>
          <w:rFonts w:ascii="TimesET" w:hAnsi="TimesET"/>
        </w:rPr>
        <w:t xml:space="preserve"> годы</w:t>
      </w:r>
    </w:p>
    <w:p w:rsidR="00D0007D" w:rsidRPr="00D648E0" w:rsidRDefault="00D0007D" w:rsidP="0052439C">
      <w:pPr>
        <w:spacing w:after="0" w:line="240" w:lineRule="auto"/>
        <w:jc w:val="center"/>
        <w:rPr>
          <w:rFonts w:ascii="TimesET" w:hAnsi="TimesET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967"/>
        <w:gridCol w:w="1241"/>
        <w:gridCol w:w="1242"/>
        <w:gridCol w:w="1242"/>
        <w:gridCol w:w="1333"/>
        <w:gridCol w:w="1276"/>
      </w:tblGrid>
      <w:tr w:rsidR="0052439C" w:rsidRPr="00D648E0" w:rsidTr="003C6EB7">
        <w:trPr>
          <w:cantSplit/>
          <w:trHeight w:val="144"/>
          <w:tblHeader/>
        </w:trPr>
        <w:tc>
          <w:tcPr>
            <w:tcW w:w="2339" w:type="dxa"/>
            <w:vMerge w:val="restart"/>
            <w:vAlign w:val="center"/>
            <w:hideMark/>
          </w:tcPr>
          <w:p w:rsidR="0052439C" w:rsidRPr="00D648E0" w:rsidRDefault="0052439C" w:rsidP="0052439C">
            <w:pPr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Показатели</w:t>
            </w:r>
          </w:p>
        </w:tc>
        <w:tc>
          <w:tcPr>
            <w:tcW w:w="967" w:type="dxa"/>
            <w:vMerge w:val="restart"/>
            <w:vAlign w:val="center"/>
            <w:hideMark/>
          </w:tcPr>
          <w:p w:rsidR="0052439C" w:rsidRPr="00D648E0" w:rsidRDefault="0052439C" w:rsidP="0052439C">
            <w:pPr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Ед. изм</w:t>
            </w:r>
            <w:r w:rsidRPr="00D648E0">
              <w:rPr>
                <w:rFonts w:ascii="TimesET" w:hAnsi="TimesET"/>
              </w:rPr>
              <w:t>е</w:t>
            </w:r>
            <w:r w:rsidRPr="00D648E0">
              <w:rPr>
                <w:rFonts w:ascii="TimesET" w:hAnsi="TimesET"/>
              </w:rPr>
              <w:t>рения</w:t>
            </w:r>
          </w:p>
        </w:tc>
        <w:tc>
          <w:tcPr>
            <w:tcW w:w="6334" w:type="dxa"/>
            <w:gridSpan w:val="5"/>
          </w:tcPr>
          <w:p w:rsidR="0052439C" w:rsidRPr="00D648E0" w:rsidRDefault="0052439C" w:rsidP="005243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ET" w:hAnsi="TimesET"/>
                <w:color w:val="000000"/>
              </w:rPr>
            </w:pPr>
            <w:r w:rsidRPr="00D648E0">
              <w:rPr>
                <w:rFonts w:ascii="TimesET" w:hAnsi="TimesET"/>
                <w:color w:val="000000"/>
              </w:rPr>
              <w:t>Значения показателей</w:t>
            </w:r>
          </w:p>
        </w:tc>
      </w:tr>
      <w:tr w:rsidR="00D648E0" w:rsidRPr="00BD544C" w:rsidTr="00D648E0">
        <w:trPr>
          <w:cantSplit/>
          <w:trHeight w:val="637"/>
          <w:tblHeader/>
        </w:trPr>
        <w:tc>
          <w:tcPr>
            <w:tcW w:w="2339" w:type="dxa"/>
            <w:vMerge/>
            <w:vAlign w:val="center"/>
            <w:hideMark/>
          </w:tcPr>
          <w:p w:rsidR="00D648E0" w:rsidRPr="00D648E0" w:rsidRDefault="00D648E0" w:rsidP="00D648E0">
            <w:pPr>
              <w:spacing w:after="0" w:line="240" w:lineRule="auto"/>
              <w:ind w:firstLine="709"/>
              <w:rPr>
                <w:rFonts w:ascii="TimesET" w:hAnsi="TimesET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D648E0" w:rsidRPr="00D648E0" w:rsidRDefault="00D648E0" w:rsidP="00D648E0">
            <w:pPr>
              <w:spacing w:after="0" w:line="240" w:lineRule="auto"/>
              <w:rPr>
                <w:rFonts w:ascii="TimesET" w:hAnsi="TimesET"/>
              </w:rPr>
            </w:pPr>
          </w:p>
        </w:tc>
        <w:tc>
          <w:tcPr>
            <w:tcW w:w="1241" w:type="dxa"/>
            <w:vAlign w:val="center"/>
            <w:hideMark/>
          </w:tcPr>
          <w:p w:rsidR="00D648E0" w:rsidRPr="00D648E0" w:rsidRDefault="00D648E0" w:rsidP="00D648E0">
            <w:pPr>
              <w:tabs>
                <w:tab w:val="left" w:pos="521"/>
              </w:tabs>
              <w:snapToGrid w:val="0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2016 год (отчет)</w:t>
            </w:r>
          </w:p>
        </w:tc>
        <w:tc>
          <w:tcPr>
            <w:tcW w:w="1242" w:type="dxa"/>
            <w:vAlign w:val="center"/>
            <w:hideMark/>
          </w:tcPr>
          <w:p w:rsidR="00D648E0" w:rsidRPr="00D648E0" w:rsidRDefault="00D648E0" w:rsidP="00D648E0">
            <w:pPr>
              <w:snapToGrid w:val="0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2017 год (оценка)</w:t>
            </w:r>
          </w:p>
        </w:tc>
        <w:tc>
          <w:tcPr>
            <w:tcW w:w="1242" w:type="dxa"/>
            <w:vAlign w:val="center"/>
            <w:hideMark/>
          </w:tcPr>
          <w:p w:rsidR="00D648E0" w:rsidRPr="00D648E0" w:rsidRDefault="00D648E0" w:rsidP="00D648E0">
            <w:pPr>
              <w:snapToGrid w:val="0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2018 год (проект)</w:t>
            </w:r>
          </w:p>
        </w:tc>
        <w:tc>
          <w:tcPr>
            <w:tcW w:w="1333" w:type="dxa"/>
            <w:vAlign w:val="center"/>
            <w:hideMark/>
          </w:tcPr>
          <w:p w:rsidR="00D648E0" w:rsidRPr="00D648E0" w:rsidRDefault="00D648E0" w:rsidP="00D648E0">
            <w:pPr>
              <w:snapToGrid w:val="0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2019 год (проект)</w:t>
            </w:r>
          </w:p>
        </w:tc>
        <w:tc>
          <w:tcPr>
            <w:tcW w:w="1276" w:type="dxa"/>
            <w:vAlign w:val="center"/>
            <w:hideMark/>
          </w:tcPr>
          <w:p w:rsidR="00D648E0" w:rsidRPr="00E67BED" w:rsidRDefault="00D648E0" w:rsidP="00D648E0">
            <w:pPr>
              <w:snapToGrid w:val="0"/>
              <w:rPr>
                <w:rFonts w:ascii="TimesET" w:hAnsi="TimesET"/>
              </w:rPr>
            </w:pPr>
            <w:r w:rsidRPr="00D648E0">
              <w:rPr>
                <w:rFonts w:ascii="TimesET" w:hAnsi="TimesET"/>
              </w:rPr>
              <w:t>2020 год (проект)</w:t>
            </w:r>
          </w:p>
        </w:tc>
      </w:tr>
    </w:tbl>
    <w:p w:rsidR="0052439C" w:rsidRPr="00BD544C" w:rsidRDefault="0052439C" w:rsidP="0052439C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967"/>
        <w:gridCol w:w="1241"/>
        <w:gridCol w:w="1242"/>
        <w:gridCol w:w="1242"/>
        <w:gridCol w:w="1333"/>
        <w:gridCol w:w="1276"/>
      </w:tblGrid>
      <w:tr w:rsidR="00D648E0" w:rsidRPr="00BD544C" w:rsidTr="0052439C">
        <w:trPr>
          <w:cantSplit/>
          <w:trHeight w:val="144"/>
          <w:tblHeader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spacing w:after="0" w:line="240" w:lineRule="auto"/>
              <w:ind w:firstLine="709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spacing w:after="0" w:line="240" w:lineRule="auto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tabs>
                <w:tab w:val="left" w:pos="521"/>
              </w:tabs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E0" w:rsidRPr="00840AA7" w:rsidRDefault="00D648E0" w:rsidP="00D648E0">
            <w:pPr>
              <w:snapToGrid w:val="0"/>
              <w:spacing w:after="0" w:line="240" w:lineRule="auto"/>
              <w:jc w:val="center"/>
              <w:rPr>
                <w:rFonts w:ascii="TimesET" w:hAnsi="TimesET"/>
              </w:rPr>
            </w:pPr>
            <w:r w:rsidRPr="00840AA7">
              <w:rPr>
                <w:rFonts w:ascii="TimesET" w:hAnsi="TimesET"/>
              </w:rPr>
              <w:t>7</w:t>
            </w:r>
          </w:p>
        </w:tc>
      </w:tr>
      <w:tr w:rsidR="00D648E0" w:rsidRPr="00BD544C" w:rsidTr="0052439C">
        <w:trPr>
          <w:trHeight w:val="14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Валовой реги</w:t>
            </w:r>
            <w:r w:rsidRPr="00840AA7">
              <w:rPr>
                <w:rFonts w:ascii="TimesET" w:hAnsi="TimesET"/>
                <w:sz w:val="20"/>
                <w:szCs w:val="20"/>
              </w:rPr>
              <w:t>о</w:t>
            </w:r>
            <w:r w:rsidRPr="00840AA7">
              <w:rPr>
                <w:rFonts w:ascii="TimesET" w:hAnsi="TimesET"/>
                <w:sz w:val="20"/>
                <w:szCs w:val="20"/>
              </w:rPr>
              <w:t xml:space="preserve">нальный продукт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млн. рублей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259625,2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272371,2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286609,7 -290042,6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303391,2 -310077,3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321482,5 -332793,6</w:t>
            </w:r>
          </w:p>
        </w:tc>
      </w:tr>
      <w:tr w:rsidR="00D648E0" w:rsidRPr="00BD544C" w:rsidTr="0052439C">
        <w:trPr>
          <w:trHeight w:val="7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Темп роста валов</w:t>
            </w:r>
            <w:r w:rsidRPr="00840AA7">
              <w:rPr>
                <w:rFonts w:ascii="TimesET" w:hAnsi="TimesET"/>
                <w:sz w:val="20"/>
                <w:szCs w:val="20"/>
              </w:rPr>
              <w:t>о</w:t>
            </w:r>
            <w:r w:rsidRPr="00840AA7">
              <w:rPr>
                <w:rFonts w:ascii="TimesET" w:hAnsi="TimesET"/>
                <w:sz w:val="20"/>
                <w:szCs w:val="20"/>
              </w:rPr>
              <w:t>го регионального продукта к предыд</w:t>
            </w:r>
            <w:r w:rsidRPr="00840AA7">
              <w:rPr>
                <w:rFonts w:ascii="TimesET" w:hAnsi="TimesET"/>
                <w:sz w:val="20"/>
                <w:szCs w:val="20"/>
              </w:rPr>
              <w:t>у</w:t>
            </w:r>
            <w:r w:rsidRPr="00840AA7">
              <w:rPr>
                <w:rFonts w:ascii="TimesET" w:hAnsi="TimesET"/>
                <w:sz w:val="20"/>
                <w:szCs w:val="20"/>
              </w:rPr>
              <w:t>щему году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</w:t>
            </w:r>
            <w:r>
              <w:rPr>
                <w:rFonts w:ascii="TimesET" w:hAnsi="TimesET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85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100,6-102,0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108" w:firstLine="51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101,2-102,5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101,4-103,0</w:t>
            </w:r>
          </w:p>
        </w:tc>
      </w:tr>
      <w:tr w:rsidR="00D648E0" w:rsidRPr="00BD544C" w:rsidTr="0052439C">
        <w:trPr>
          <w:trHeight w:val="71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Индекс промы</w:t>
            </w:r>
            <w:r w:rsidRPr="00840AA7">
              <w:rPr>
                <w:rFonts w:ascii="TimesET" w:hAnsi="TimesET"/>
                <w:sz w:val="20"/>
                <w:szCs w:val="20"/>
              </w:rPr>
              <w:t>ш</w:t>
            </w:r>
            <w:r w:rsidRPr="00840AA7">
              <w:rPr>
                <w:rFonts w:ascii="TimesET" w:hAnsi="TimesET"/>
                <w:sz w:val="20"/>
                <w:szCs w:val="20"/>
              </w:rPr>
              <w:t>ленного произво</w:t>
            </w:r>
            <w:r w:rsidRPr="00840AA7">
              <w:rPr>
                <w:rFonts w:ascii="TimesET" w:hAnsi="TimesET"/>
                <w:sz w:val="20"/>
                <w:szCs w:val="20"/>
              </w:rPr>
              <w:t>д</w:t>
            </w:r>
            <w:r w:rsidRPr="00840AA7">
              <w:rPr>
                <w:rFonts w:ascii="TimesET" w:hAnsi="TimesET"/>
                <w:sz w:val="20"/>
                <w:szCs w:val="20"/>
              </w:rPr>
              <w:t>ства, темп роста к предыдущему году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firstLine="34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102,7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85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102,1-104,8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108" w:firstLine="51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102,9-105,3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103,2-105,4</w:t>
            </w:r>
          </w:p>
        </w:tc>
      </w:tr>
      <w:tr w:rsidR="00D648E0" w:rsidRPr="00BD544C" w:rsidTr="0052439C">
        <w:trPr>
          <w:trHeight w:val="12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Темп роста прои</w:t>
            </w:r>
            <w:r w:rsidRPr="00840AA7">
              <w:rPr>
                <w:rFonts w:ascii="TimesET" w:hAnsi="TimesET"/>
                <w:sz w:val="20"/>
                <w:szCs w:val="20"/>
              </w:rPr>
              <w:t>з</w:t>
            </w:r>
            <w:r w:rsidRPr="00840AA7">
              <w:rPr>
                <w:rFonts w:ascii="TimesET" w:hAnsi="TimesET"/>
                <w:sz w:val="20"/>
                <w:szCs w:val="20"/>
              </w:rPr>
              <w:t>водства продукции сельского хозяйства во всех категориях хозяйств к предыд</w:t>
            </w:r>
            <w:r w:rsidRPr="00840AA7">
              <w:rPr>
                <w:rFonts w:ascii="TimesET" w:hAnsi="TimesET"/>
                <w:sz w:val="20"/>
                <w:szCs w:val="20"/>
              </w:rPr>
              <w:t>у</w:t>
            </w:r>
            <w:r w:rsidRPr="00840AA7">
              <w:rPr>
                <w:rFonts w:ascii="TimesET" w:hAnsi="TimesET"/>
                <w:sz w:val="20"/>
                <w:szCs w:val="20"/>
              </w:rPr>
              <w:t>щему году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101,1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85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100,5-104,3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100,7-104,5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100,9-104,8</w:t>
            </w:r>
          </w:p>
        </w:tc>
      </w:tr>
      <w:tr w:rsidR="00D648E0" w:rsidRPr="00BD544C" w:rsidTr="0052439C">
        <w:trPr>
          <w:trHeight w:val="71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Темп роста инв</w:t>
            </w:r>
            <w:r w:rsidRPr="00840AA7">
              <w:rPr>
                <w:rFonts w:ascii="TimesET" w:hAnsi="TimesET"/>
                <w:sz w:val="20"/>
                <w:szCs w:val="20"/>
              </w:rPr>
              <w:t>е</w:t>
            </w:r>
            <w:r w:rsidRPr="00840AA7">
              <w:rPr>
                <w:rFonts w:ascii="TimesET" w:hAnsi="TimesET"/>
                <w:sz w:val="20"/>
                <w:szCs w:val="20"/>
              </w:rPr>
              <w:t>стиций в основной капитал по всем и</w:t>
            </w:r>
            <w:r w:rsidRPr="00840AA7">
              <w:rPr>
                <w:rFonts w:ascii="TimesET" w:hAnsi="TimesET"/>
                <w:sz w:val="20"/>
                <w:szCs w:val="20"/>
              </w:rPr>
              <w:t>с</w:t>
            </w:r>
            <w:r w:rsidRPr="00840AA7">
              <w:rPr>
                <w:rFonts w:ascii="TimesET" w:hAnsi="TimesET"/>
                <w:sz w:val="20"/>
                <w:szCs w:val="20"/>
              </w:rPr>
              <w:lastRenderedPageBreak/>
              <w:t>точникам финанс</w:t>
            </w:r>
            <w:r w:rsidRPr="00840AA7">
              <w:rPr>
                <w:rFonts w:ascii="TimesET" w:hAnsi="TimesET"/>
                <w:sz w:val="20"/>
                <w:szCs w:val="20"/>
              </w:rPr>
              <w:t>и</w:t>
            </w:r>
            <w:r w:rsidRPr="00840AA7">
              <w:rPr>
                <w:rFonts w:ascii="TimesET" w:hAnsi="TimesET"/>
                <w:sz w:val="20"/>
                <w:szCs w:val="20"/>
              </w:rPr>
              <w:t>рования к предыд</w:t>
            </w:r>
            <w:r w:rsidRPr="00840AA7">
              <w:rPr>
                <w:rFonts w:ascii="TimesET" w:hAnsi="TimesET"/>
                <w:sz w:val="20"/>
                <w:szCs w:val="20"/>
              </w:rPr>
              <w:t>у</w:t>
            </w:r>
            <w:r w:rsidRPr="00840AA7">
              <w:rPr>
                <w:rFonts w:ascii="TimesET" w:hAnsi="TimesET"/>
                <w:sz w:val="20"/>
                <w:szCs w:val="20"/>
              </w:rPr>
              <w:t>щему году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82,6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7D" w:rsidRDefault="00D0007D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snapToGrid w:val="0"/>
              <w:spacing w:after="0" w:line="240" w:lineRule="auto"/>
              <w:ind w:firstLine="34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7D" w:rsidRDefault="00D0007D" w:rsidP="00D648E0">
            <w:pPr>
              <w:snapToGrid w:val="0"/>
              <w:spacing w:after="0" w:line="240" w:lineRule="auto"/>
              <w:ind w:left="-85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85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85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85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85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snapToGrid w:val="0"/>
              <w:spacing w:after="0" w:line="240" w:lineRule="auto"/>
              <w:ind w:left="-85" w:right="-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100,1-102,4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7D" w:rsidRDefault="00D0007D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snapToGrid w:val="0"/>
              <w:spacing w:after="0" w:line="240" w:lineRule="auto"/>
              <w:ind w:left="-51" w:right="-58" w:hanging="51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101,1-104,5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7D" w:rsidRDefault="00D0007D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0007D" w:rsidRDefault="00D0007D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101,5-106,1</w:t>
            </w:r>
          </w:p>
        </w:tc>
      </w:tr>
      <w:tr w:rsidR="00D648E0" w:rsidRPr="00BD544C" w:rsidTr="0052439C">
        <w:trPr>
          <w:trHeight w:val="44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lastRenderedPageBreak/>
              <w:t>Фонд заработной платы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7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млн. рублей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88459,8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7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93354,8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98662,5 -99872,0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firstLine="34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104873,4 -107007,9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firstLine="34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112294,1 -115413,0</w:t>
            </w:r>
          </w:p>
        </w:tc>
      </w:tr>
      <w:tr w:rsidR="00D648E0" w:rsidRPr="00BD544C" w:rsidTr="0052439C">
        <w:trPr>
          <w:trHeight w:val="63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Темп роста фонда заработной платы к предыдущему году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100,8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firstLine="37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65" w:hanging="85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105,7-107,0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5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106,3-107,1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107,1-107,9</w:t>
            </w:r>
          </w:p>
        </w:tc>
      </w:tr>
      <w:tr w:rsidR="00D648E0" w:rsidRPr="00BD544C" w:rsidTr="0052439C">
        <w:trPr>
          <w:trHeight w:val="55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176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Индекс потреб</w:t>
            </w:r>
            <w:r w:rsidRPr="00840AA7">
              <w:rPr>
                <w:rFonts w:ascii="TimesET" w:hAnsi="TimesET"/>
                <w:sz w:val="20"/>
                <w:szCs w:val="20"/>
              </w:rPr>
              <w:t>и</w:t>
            </w:r>
            <w:r w:rsidRPr="00840AA7">
              <w:rPr>
                <w:rFonts w:ascii="TimesET" w:hAnsi="TimesET"/>
                <w:sz w:val="20"/>
                <w:szCs w:val="20"/>
              </w:rPr>
              <w:t xml:space="preserve">тельских цен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tabs>
                <w:tab w:val="left" w:pos="-108"/>
                <w:tab w:val="left" w:pos="34"/>
              </w:tabs>
              <w:snapToGrid w:val="0"/>
              <w:spacing w:after="0" w:line="240" w:lineRule="auto"/>
              <w:ind w:firstLine="37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 w:firstLine="36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58"/>
              <w:jc w:val="both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ET" w:hAnsi="TimesET"/>
                <w:sz w:val="20"/>
                <w:szCs w:val="20"/>
              </w:rPr>
            </w:pPr>
          </w:p>
        </w:tc>
      </w:tr>
      <w:tr w:rsidR="00D648E0" w:rsidRPr="00BD544C" w:rsidTr="0052439C">
        <w:trPr>
          <w:trHeight w:val="40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34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в среднем за год к предыдущему году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i/>
                <w:iCs/>
                <w:sz w:val="20"/>
                <w:szCs w:val="20"/>
                <w:lang w:val="en-US"/>
              </w:rPr>
            </w:pPr>
            <w:r w:rsidRPr="00840AA7">
              <w:rPr>
                <w:rFonts w:ascii="TimesET" w:hAnsi="TimesET"/>
                <w:i/>
                <w:iCs/>
                <w:sz w:val="20"/>
                <w:szCs w:val="20"/>
                <w:lang w:val="en-US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tabs>
                <w:tab w:val="left" w:pos="-108"/>
                <w:tab w:val="left" w:pos="34"/>
              </w:tabs>
              <w:snapToGrid w:val="0"/>
              <w:spacing w:after="0" w:line="240" w:lineRule="auto"/>
              <w:ind w:firstLine="37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105,0-103,7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5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105,3-104,0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105,2-104,3</w:t>
            </w:r>
          </w:p>
        </w:tc>
      </w:tr>
      <w:tr w:rsidR="00D648E0" w:rsidRPr="00BD544C" w:rsidTr="0052439C">
        <w:trPr>
          <w:trHeight w:val="1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28" w:firstLine="34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декабрь к декабрю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i/>
                <w:iCs/>
                <w:sz w:val="20"/>
                <w:szCs w:val="20"/>
                <w:lang w:val="en-US"/>
              </w:rPr>
            </w:pPr>
            <w:r w:rsidRPr="00840AA7">
              <w:rPr>
                <w:rFonts w:ascii="TimesET" w:hAnsi="TimesET"/>
                <w:i/>
                <w:iCs/>
                <w:sz w:val="20"/>
                <w:szCs w:val="20"/>
                <w:lang w:val="en-US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104,1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tabs>
                <w:tab w:val="left" w:pos="-108"/>
                <w:tab w:val="left" w:pos="34"/>
              </w:tabs>
              <w:snapToGrid w:val="0"/>
              <w:spacing w:after="0" w:line="240" w:lineRule="auto"/>
              <w:ind w:firstLine="37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104,3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108" w:right="-108" w:firstLine="36"/>
              <w:jc w:val="center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105,0-104,0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left="-51" w:right="-5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104,9-104,0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8E0" w:rsidRPr="00840AA7" w:rsidRDefault="00D648E0" w:rsidP="00D648E0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ET" w:hAnsi="TimesET"/>
                <w:sz w:val="20"/>
                <w:szCs w:val="20"/>
              </w:rPr>
            </w:pPr>
            <w:r w:rsidRPr="00840AA7">
              <w:rPr>
                <w:rFonts w:ascii="TimesET" w:hAnsi="TimesET"/>
                <w:sz w:val="20"/>
                <w:szCs w:val="20"/>
              </w:rPr>
              <w:t>104,7-103,7</w:t>
            </w:r>
          </w:p>
        </w:tc>
      </w:tr>
    </w:tbl>
    <w:p w:rsidR="00823EFC" w:rsidRPr="00BD544C" w:rsidRDefault="00823EFC" w:rsidP="00C00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823EFC" w:rsidRPr="00C9019B" w:rsidRDefault="00823EFC" w:rsidP="00C00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9019B">
        <w:rPr>
          <w:rFonts w:ascii="Times New Roman" w:eastAsiaTheme="minorHAnsi" w:hAnsi="Times New Roman"/>
          <w:sz w:val="26"/>
          <w:szCs w:val="26"/>
        </w:rPr>
        <w:t xml:space="preserve">В целом 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прогноз рост</w:t>
      </w:r>
      <w:r w:rsidR="00C00719" w:rsidRPr="00C9019B">
        <w:rPr>
          <w:rFonts w:ascii="Times New Roman" w:eastAsiaTheme="minorHAnsi" w:hAnsi="Times New Roman"/>
          <w:sz w:val="26"/>
          <w:szCs w:val="26"/>
        </w:rPr>
        <w:t>а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9019B">
        <w:rPr>
          <w:rFonts w:ascii="Times New Roman" w:eastAsiaTheme="minorHAnsi" w:hAnsi="Times New Roman"/>
          <w:sz w:val="26"/>
          <w:szCs w:val="26"/>
        </w:rPr>
        <w:t>налоговы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х</w:t>
      </w:r>
      <w:r w:rsidRPr="00C9019B">
        <w:rPr>
          <w:rFonts w:ascii="Times New Roman" w:eastAsiaTheme="minorHAnsi" w:hAnsi="Times New Roman"/>
          <w:sz w:val="26"/>
          <w:szCs w:val="26"/>
        </w:rPr>
        <w:t xml:space="preserve"> и неналоговы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х</w:t>
      </w:r>
      <w:r w:rsidRPr="00C9019B">
        <w:rPr>
          <w:rFonts w:ascii="Times New Roman" w:eastAsiaTheme="minorHAnsi" w:hAnsi="Times New Roman"/>
          <w:sz w:val="26"/>
          <w:szCs w:val="26"/>
        </w:rPr>
        <w:t xml:space="preserve"> доход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ов</w:t>
      </w:r>
      <w:r w:rsidRPr="00C9019B">
        <w:rPr>
          <w:rFonts w:ascii="Times New Roman" w:eastAsiaTheme="minorHAnsi" w:hAnsi="Times New Roman"/>
          <w:sz w:val="26"/>
          <w:szCs w:val="26"/>
        </w:rPr>
        <w:t xml:space="preserve"> консолидирова</w:t>
      </w:r>
      <w:r w:rsidRPr="00C9019B">
        <w:rPr>
          <w:rFonts w:ascii="Times New Roman" w:eastAsiaTheme="minorHAnsi" w:hAnsi="Times New Roman"/>
          <w:sz w:val="26"/>
          <w:szCs w:val="26"/>
        </w:rPr>
        <w:t>н</w:t>
      </w:r>
      <w:r w:rsidRPr="00C9019B">
        <w:rPr>
          <w:rFonts w:ascii="Times New Roman" w:eastAsiaTheme="minorHAnsi" w:hAnsi="Times New Roman"/>
          <w:sz w:val="26"/>
          <w:szCs w:val="26"/>
        </w:rPr>
        <w:t xml:space="preserve">ного бюджета Чувашской Республики </w:t>
      </w:r>
      <w:r w:rsidR="005754A8" w:rsidRPr="00C9019B">
        <w:rPr>
          <w:rFonts w:ascii="Times New Roman" w:eastAsiaTheme="minorHAnsi" w:hAnsi="Times New Roman"/>
          <w:sz w:val="26"/>
          <w:szCs w:val="26"/>
        </w:rPr>
        <w:t xml:space="preserve">до 2030 года 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остается прежним</w:t>
      </w:r>
      <w:r w:rsidRPr="00C9019B">
        <w:rPr>
          <w:rFonts w:ascii="Times New Roman" w:eastAsiaTheme="minorHAnsi" w:hAnsi="Times New Roman"/>
          <w:sz w:val="26"/>
          <w:szCs w:val="26"/>
        </w:rPr>
        <w:t>. В структур</w:t>
      </w:r>
      <w:r w:rsidR="00C00719" w:rsidRPr="00C9019B">
        <w:rPr>
          <w:rFonts w:ascii="Times New Roman" w:eastAsiaTheme="minorHAnsi" w:hAnsi="Times New Roman"/>
          <w:sz w:val="26"/>
          <w:szCs w:val="26"/>
        </w:rPr>
        <w:t>у</w:t>
      </w:r>
      <w:r w:rsidRPr="00C9019B">
        <w:rPr>
          <w:rFonts w:ascii="Times New Roman" w:eastAsiaTheme="minorHAnsi" w:hAnsi="Times New Roman"/>
          <w:sz w:val="26"/>
          <w:szCs w:val="26"/>
        </w:rPr>
        <w:t xml:space="preserve"> доходов консолидированного бюджета Чувашской Республики основной вклад также будут вносить налог на доходы физических лиц и налог на прибыль орган</w:t>
      </w:r>
      <w:r w:rsidRPr="00C9019B">
        <w:rPr>
          <w:rFonts w:ascii="Times New Roman" w:eastAsiaTheme="minorHAnsi" w:hAnsi="Times New Roman"/>
          <w:sz w:val="26"/>
          <w:szCs w:val="26"/>
        </w:rPr>
        <w:t>и</w:t>
      </w:r>
      <w:r w:rsidRPr="00C9019B">
        <w:rPr>
          <w:rFonts w:ascii="Times New Roman" w:eastAsiaTheme="minorHAnsi" w:hAnsi="Times New Roman"/>
          <w:sz w:val="26"/>
          <w:szCs w:val="26"/>
        </w:rPr>
        <w:t>заций. При этом увеличение поступлений по данным налогам прогнозируется за счет развития экономики и повышения уровня их собираемости.</w:t>
      </w:r>
    </w:p>
    <w:p w:rsidR="00C9019B" w:rsidRDefault="00C9019B" w:rsidP="00C9019B">
      <w:pPr>
        <w:pStyle w:val="ConsPlusNormal"/>
        <w:ind w:firstLine="708"/>
        <w:jc w:val="center"/>
      </w:pPr>
    </w:p>
    <w:p w:rsidR="00C9019B" w:rsidRPr="00EE6B3C" w:rsidRDefault="00C9019B" w:rsidP="00C9019B">
      <w:pPr>
        <w:pStyle w:val="ConsPlusNormal"/>
        <w:ind w:firstLine="708"/>
        <w:jc w:val="center"/>
      </w:pPr>
      <w:r w:rsidRPr="00EE6B3C">
        <w:t xml:space="preserve">Структура доходов консолидированного бюджета Чувашской Республики </w:t>
      </w:r>
    </w:p>
    <w:p w:rsidR="00C9019B" w:rsidRPr="00EE6B3C" w:rsidRDefault="00C9019B" w:rsidP="00C9019B">
      <w:pPr>
        <w:pStyle w:val="ConsPlusNormal"/>
        <w:ind w:firstLine="708"/>
        <w:jc w:val="center"/>
      </w:pPr>
      <w:r w:rsidRPr="00EE6B3C">
        <w:t>на период до 2030 года</w:t>
      </w:r>
    </w:p>
    <w:p w:rsidR="00C9019B" w:rsidRPr="00EE6B3C" w:rsidRDefault="00C9019B" w:rsidP="00C9019B">
      <w:pPr>
        <w:pStyle w:val="ConsPlusNormal"/>
        <w:ind w:firstLine="708"/>
        <w:jc w:val="center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1029"/>
        <w:gridCol w:w="1161"/>
        <w:gridCol w:w="1061"/>
        <w:gridCol w:w="1061"/>
      </w:tblGrid>
      <w:tr w:rsidR="006F272D" w:rsidRPr="00EE6B3C" w:rsidTr="00D0007D">
        <w:tc>
          <w:tcPr>
            <w:tcW w:w="5033" w:type="dxa"/>
            <w:vMerge w:val="restart"/>
            <w:shd w:val="clear" w:color="auto" w:fill="auto"/>
            <w:vAlign w:val="center"/>
          </w:tcPr>
          <w:p w:rsidR="006F272D" w:rsidRPr="00EE6B3C" w:rsidRDefault="006F272D" w:rsidP="00D0007D">
            <w:pPr>
              <w:pStyle w:val="ConsPlusNormal"/>
              <w:jc w:val="center"/>
            </w:pPr>
            <w:r w:rsidRPr="00EE6B3C">
              <w:t>Наименование показателя</w:t>
            </w:r>
          </w:p>
        </w:tc>
        <w:tc>
          <w:tcPr>
            <w:tcW w:w="4312" w:type="dxa"/>
            <w:gridSpan w:val="4"/>
            <w:shd w:val="clear" w:color="auto" w:fill="auto"/>
          </w:tcPr>
          <w:p w:rsidR="006F272D" w:rsidRPr="00EE6B3C" w:rsidRDefault="006F272D" w:rsidP="00E328F1">
            <w:pPr>
              <w:pStyle w:val="ConsPlusNormal"/>
              <w:jc w:val="center"/>
            </w:pPr>
            <w:r w:rsidRPr="00EE6B3C">
              <w:t>Годы</w:t>
            </w:r>
          </w:p>
        </w:tc>
      </w:tr>
      <w:tr w:rsidR="006F272D" w:rsidRPr="00EE6B3C" w:rsidTr="006F272D">
        <w:tc>
          <w:tcPr>
            <w:tcW w:w="5033" w:type="dxa"/>
            <w:vMerge/>
            <w:shd w:val="clear" w:color="auto" w:fill="auto"/>
          </w:tcPr>
          <w:p w:rsidR="006F272D" w:rsidRPr="00EE6B3C" w:rsidRDefault="006F272D" w:rsidP="00E328F1">
            <w:pPr>
              <w:pStyle w:val="ConsPlusNormal"/>
              <w:jc w:val="both"/>
            </w:pPr>
          </w:p>
        </w:tc>
        <w:tc>
          <w:tcPr>
            <w:tcW w:w="1029" w:type="dxa"/>
            <w:shd w:val="clear" w:color="auto" w:fill="auto"/>
          </w:tcPr>
          <w:p w:rsidR="006F272D" w:rsidRPr="00C9019B" w:rsidRDefault="006F272D" w:rsidP="00E328F1">
            <w:pPr>
              <w:pStyle w:val="ConsPlusNormal"/>
              <w:jc w:val="center"/>
            </w:pPr>
            <w:r w:rsidRPr="00C9019B">
              <w:t>2017</w:t>
            </w:r>
          </w:p>
        </w:tc>
        <w:tc>
          <w:tcPr>
            <w:tcW w:w="1161" w:type="dxa"/>
            <w:shd w:val="clear" w:color="auto" w:fill="auto"/>
          </w:tcPr>
          <w:p w:rsidR="006F272D" w:rsidRPr="00C9019B" w:rsidRDefault="006F272D" w:rsidP="00E328F1">
            <w:pPr>
              <w:pStyle w:val="ConsPlusNormal"/>
              <w:jc w:val="center"/>
            </w:pPr>
            <w:r w:rsidRPr="00C9019B">
              <w:t>2020</w:t>
            </w:r>
          </w:p>
        </w:tc>
        <w:tc>
          <w:tcPr>
            <w:tcW w:w="1061" w:type="dxa"/>
            <w:shd w:val="clear" w:color="auto" w:fill="auto"/>
          </w:tcPr>
          <w:p w:rsidR="006F272D" w:rsidRPr="00EE6B3C" w:rsidRDefault="006F272D" w:rsidP="00E328F1">
            <w:pPr>
              <w:pStyle w:val="ConsPlusNormal"/>
              <w:jc w:val="center"/>
            </w:pPr>
            <w:r w:rsidRPr="00EE6B3C">
              <w:t>2025</w:t>
            </w:r>
          </w:p>
        </w:tc>
        <w:tc>
          <w:tcPr>
            <w:tcW w:w="1061" w:type="dxa"/>
            <w:shd w:val="clear" w:color="auto" w:fill="auto"/>
          </w:tcPr>
          <w:p w:rsidR="006F272D" w:rsidRPr="00EE6B3C" w:rsidRDefault="006F272D" w:rsidP="00E328F1">
            <w:pPr>
              <w:pStyle w:val="ConsPlusNormal"/>
              <w:jc w:val="center"/>
            </w:pPr>
            <w:r w:rsidRPr="00EE6B3C">
              <w:t>2030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Собственные доходы, всего, млн. рублей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083715">
              <w:rPr>
                <w:rFonts w:ascii="Times New Roman" w:hAnsi="Times New Roman"/>
              </w:rPr>
              <w:t>33 544,0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37 873,0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44 493,6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53 147,2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налог на прибыль организаций, млн. ру</w:t>
            </w:r>
            <w:r w:rsidRPr="00EE6B3C">
              <w:rPr>
                <w:rFonts w:ascii="Times New Roman" w:hAnsi="Times New Roman"/>
                <w:sz w:val="26"/>
                <w:szCs w:val="26"/>
              </w:rPr>
              <w:t>б</w:t>
            </w:r>
            <w:r w:rsidRPr="00EE6B3C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7 350,2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8 339,1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10 491,8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13 621,4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доля в общем объеме собственных дох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дов, %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21,9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22,0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23,6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25,6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налог на доходы физических лиц, млн. рублей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12 152,2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14 562,1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17 597,3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21 061,1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доля в общем объеме собственных дох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дов, %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36,2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38,4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39,6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39,6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акцизы, млн. рублей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3 844,8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4 207,2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4 207,2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4 207,2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доля в общем объеме собственных дох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дов, %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11,5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11,1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9,5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7,9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налоги на совокупный доход, млн. рублей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2 611,4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2 894,1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3 641,2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4 727,4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доля в общем объеме собственных дох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дов, %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7,6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8,2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8,9</w:t>
            </w:r>
          </w:p>
        </w:tc>
      </w:tr>
      <w:tr w:rsidR="00083715" w:rsidRPr="00EE6B3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sz w:val="26"/>
                <w:szCs w:val="26"/>
              </w:rPr>
              <w:t>налоги на имущество, млн. рублей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4 432,3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4 786,0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5 585,6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6 673,9</w:t>
            </w:r>
          </w:p>
        </w:tc>
      </w:tr>
      <w:tr w:rsidR="00083715" w:rsidRPr="00BD544C" w:rsidTr="00D0007D">
        <w:tc>
          <w:tcPr>
            <w:tcW w:w="5033" w:type="dxa"/>
            <w:shd w:val="clear" w:color="auto" w:fill="auto"/>
            <w:vAlign w:val="bottom"/>
          </w:tcPr>
          <w:p w:rsidR="00083715" w:rsidRPr="00EE6B3C" w:rsidRDefault="00083715" w:rsidP="00D0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доля в общем объеме собственных дох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EE6B3C">
              <w:rPr>
                <w:rFonts w:ascii="Times New Roman" w:hAnsi="Times New Roman"/>
                <w:i/>
                <w:sz w:val="26"/>
                <w:szCs w:val="26"/>
              </w:rPr>
              <w:t>дов, %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83715" w:rsidRPr="00083715" w:rsidRDefault="00083715" w:rsidP="00D0007D">
            <w:pPr>
              <w:jc w:val="right"/>
              <w:rPr>
                <w:rFonts w:ascii="Times New Roman" w:hAnsi="Times New Roman"/>
                <w:szCs w:val="24"/>
              </w:rPr>
            </w:pPr>
            <w:r w:rsidRPr="00083715">
              <w:rPr>
                <w:rFonts w:ascii="Times New Roman" w:hAnsi="Times New Roman"/>
                <w:szCs w:val="24"/>
              </w:rPr>
              <w:t>13,2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12,6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</w:rPr>
            </w:pPr>
            <w:r w:rsidRPr="006A1481">
              <w:rPr>
                <w:rFonts w:ascii="Times New Roman" w:hAnsi="Times New Roman"/>
              </w:rPr>
              <w:t>12,6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083715" w:rsidRPr="006A1481" w:rsidRDefault="00083715" w:rsidP="00D0007D">
            <w:pPr>
              <w:jc w:val="right"/>
              <w:rPr>
                <w:rFonts w:ascii="Times New Roman" w:hAnsi="Times New Roman"/>
                <w:lang w:val="en-US"/>
              </w:rPr>
            </w:pPr>
            <w:r w:rsidRPr="006A1481">
              <w:rPr>
                <w:rFonts w:ascii="Times New Roman" w:hAnsi="Times New Roman"/>
              </w:rPr>
              <w:t>12,6</w:t>
            </w:r>
          </w:p>
        </w:tc>
      </w:tr>
    </w:tbl>
    <w:p w:rsidR="00823EFC" w:rsidRPr="00BD544C" w:rsidRDefault="00823EFC" w:rsidP="00541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D344AF" w:rsidRPr="00C9019B" w:rsidRDefault="00482906" w:rsidP="00D34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9019B">
        <w:rPr>
          <w:rFonts w:ascii="Times New Roman" w:eastAsiaTheme="minorHAnsi" w:hAnsi="Times New Roman"/>
          <w:sz w:val="26"/>
          <w:szCs w:val="26"/>
        </w:rPr>
        <w:lastRenderedPageBreak/>
        <w:t>Соответственно п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рогноз</w:t>
      </w:r>
      <w:r w:rsidRPr="00C9019B">
        <w:rPr>
          <w:rFonts w:ascii="Times New Roman" w:eastAsiaTheme="minorHAnsi" w:hAnsi="Times New Roman"/>
          <w:sz w:val="26"/>
          <w:szCs w:val="26"/>
        </w:rPr>
        <w:t>ируется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 xml:space="preserve"> </w:t>
      </w:r>
      <w:r w:rsidR="005754A8" w:rsidRPr="00C9019B">
        <w:rPr>
          <w:rFonts w:ascii="Times New Roman" w:eastAsiaTheme="minorHAnsi" w:hAnsi="Times New Roman"/>
          <w:sz w:val="26"/>
          <w:szCs w:val="26"/>
        </w:rPr>
        <w:t xml:space="preserve">рост 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расходов консолидированного и ре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с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публиканского бюджетов Чувашской Республики до 2030 года</w:t>
      </w:r>
      <w:r w:rsidR="005754A8" w:rsidRPr="00C9019B">
        <w:rPr>
          <w:rFonts w:ascii="Times New Roman" w:eastAsiaTheme="minorHAnsi" w:hAnsi="Times New Roman"/>
          <w:sz w:val="26"/>
          <w:szCs w:val="26"/>
        </w:rPr>
        <w:t>. Расходы будут осуществляться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 xml:space="preserve"> в соответствии с расходными обязательствами, отнесенными </w:t>
      </w:r>
      <w:hyperlink r:id="rId10" w:history="1">
        <w:r w:rsidR="00D344AF" w:rsidRPr="00C9019B">
          <w:rPr>
            <w:rFonts w:ascii="Times New Roman" w:eastAsiaTheme="minorHAnsi" w:hAnsi="Times New Roman"/>
            <w:sz w:val="26"/>
            <w:szCs w:val="26"/>
          </w:rPr>
          <w:t>Ко</w:t>
        </w:r>
        <w:r w:rsidR="00D344AF" w:rsidRPr="00C9019B">
          <w:rPr>
            <w:rFonts w:ascii="Times New Roman" w:eastAsiaTheme="minorHAnsi" w:hAnsi="Times New Roman"/>
            <w:sz w:val="26"/>
            <w:szCs w:val="26"/>
          </w:rPr>
          <w:t>н</w:t>
        </w:r>
        <w:r w:rsidR="00D344AF" w:rsidRPr="00C9019B">
          <w:rPr>
            <w:rFonts w:ascii="Times New Roman" w:eastAsiaTheme="minorHAnsi" w:hAnsi="Times New Roman"/>
            <w:sz w:val="26"/>
            <w:szCs w:val="26"/>
          </w:rPr>
          <w:t>ституцией</w:t>
        </w:r>
      </w:hyperlink>
      <w:r w:rsidR="00D344AF" w:rsidRPr="00C9019B">
        <w:rPr>
          <w:rFonts w:ascii="Times New Roman" w:eastAsiaTheme="minorHAnsi" w:hAnsi="Times New Roman"/>
          <w:sz w:val="26"/>
          <w:szCs w:val="26"/>
        </w:rPr>
        <w:t xml:space="preserve"> Российской Федерации и федеральными законами к полномочиям суб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>ъ</w:t>
      </w:r>
      <w:r w:rsidR="00D344AF" w:rsidRPr="00C9019B">
        <w:rPr>
          <w:rFonts w:ascii="Times New Roman" w:eastAsiaTheme="minorHAnsi" w:hAnsi="Times New Roman"/>
          <w:sz w:val="26"/>
          <w:szCs w:val="26"/>
        </w:rPr>
        <w:t xml:space="preserve">ектов Российской Федерации и органов местного самоуправления. </w:t>
      </w:r>
    </w:p>
    <w:p w:rsidR="00BB38A3" w:rsidRPr="00C9019B" w:rsidRDefault="00823EFC" w:rsidP="00BB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C9019B">
        <w:rPr>
          <w:rFonts w:ascii="Times New Roman" w:eastAsiaTheme="minorHAnsi" w:hAnsi="Times New Roman"/>
          <w:sz w:val="26"/>
          <w:szCs w:val="26"/>
        </w:rPr>
        <w:t xml:space="preserve"> 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ab/>
        <w:t>Будет продолжено развитие образования, здравоохранения, культуры и спо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>р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>та, обеспечена социальная поддержка населения, будут сохранены расходы на ра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>з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>витие производственной инфраструктуры, в том числе сельского хозяйства, ж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>и</w:t>
      </w:r>
      <w:r w:rsidR="00BB38A3" w:rsidRPr="00C9019B">
        <w:rPr>
          <w:rFonts w:ascii="Times New Roman" w:eastAsiaTheme="minorHAnsi" w:hAnsi="Times New Roman"/>
          <w:sz w:val="26"/>
          <w:szCs w:val="26"/>
        </w:rPr>
        <w:t>лищно-коммунального хозяйства, дорожного хозяйства.</w:t>
      </w:r>
    </w:p>
    <w:p w:rsidR="0056050B" w:rsidRPr="00C9019B" w:rsidRDefault="0056050B" w:rsidP="00E35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9019B">
        <w:rPr>
          <w:rFonts w:ascii="Times New Roman" w:eastAsiaTheme="minorHAnsi" w:hAnsi="Times New Roman"/>
          <w:sz w:val="26"/>
          <w:szCs w:val="26"/>
        </w:rPr>
        <w:t>Исполнение указов Президента Российской Федерации от 7 мая 2012 г</w:t>
      </w:r>
      <w:r w:rsidR="00C00719" w:rsidRPr="00C9019B">
        <w:rPr>
          <w:rFonts w:ascii="Times New Roman" w:eastAsiaTheme="minorHAnsi" w:hAnsi="Times New Roman"/>
          <w:sz w:val="26"/>
          <w:szCs w:val="26"/>
        </w:rPr>
        <w:t>ода</w:t>
      </w:r>
      <w:r w:rsidRPr="00C9019B">
        <w:rPr>
          <w:rFonts w:ascii="Times New Roman" w:eastAsiaTheme="minorHAnsi" w:hAnsi="Times New Roman"/>
          <w:sz w:val="26"/>
          <w:szCs w:val="26"/>
        </w:rPr>
        <w:t xml:space="preserve"> будет обеспечиваться в полном объеме.</w:t>
      </w:r>
    </w:p>
    <w:p w:rsidR="000158F1" w:rsidRPr="00B92432" w:rsidRDefault="00E35454" w:rsidP="0001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B92432">
        <w:rPr>
          <w:rFonts w:ascii="Times New Roman" w:eastAsiaTheme="minorHAnsi" w:hAnsi="Times New Roman"/>
          <w:sz w:val="26"/>
          <w:szCs w:val="26"/>
        </w:rPr>
        <w:tab/>
      </w:r>
      <w:r w:rsidR="000158F1" w:rsidRPr="00B92432">
        <w:rPr>
          <w:rFonts w:ascii="Times New Roman" w:eastAsiaTheme="minorHAnsi" w:hAnsi="Times New Roman"/>
          <w:sz w:val="26"/>
          <w:szCs w:val="26"/>
        </w:rPr>
        <w:t>В</w:t>
      </w:r>
      <w:r w:rsidRPr="00B92432">
        <w:rPr>
          <w:rFonts w:ascii="Times New Roman" w:eastAsiaTheme="minorHAnsi" w:hAnsi="Times New Roman"/>
          <w:sz w:val="26"/>
          <w:szCs w:val="26"/>
        </w:rPr>
        <w:t>се принятые Чувашской Республикой долговые обязательства будут в</w:t>
      </w:r>
      <w:r w:rsidRPr="00B92432">
        <w:rPr>
          <w:rFonts w:ascii="Times New Roman" w:eastAsiaTheme="minorHAnsi" w:hAnsi="Times New Roman"/>
          <w:sz w:val="26"/>
          <w:szCs w:val="26"/>
        </w:rPr>
        <w:t>ы</w:t>
      </w:r>
      <w:r w:rsidRPr="00B92432">
        <w:rPr>
          <w:rFonts w:ascii="Times New Roman" w:eastAsiaTheme="minorHAnsi" w:hAnsi="Times New Roman"/>
          <w:sz w:val="26"/>
          <w:szCs w:val="26"/>
        </w:rPr>
        <w:t>полнены в полном объеме.</w:t>
      </w:r>
      <w:r w:rsidR="000158F1" w:rsidRPr="00B92432">
        <w:rPr>
          <w:rFonts w:ascii="Times New Roman" w:eastAsiaTheme="minorHAnsi" w:hAnsi="Times New Roman"/>
          <w:sz w:val="26"/>
          <w:szCs w:val="26"/>
        </w:rPr>
        <w:t xml:space="preserve"> Долговая политик</w:t>
      </w:r>
      <w:r w:rsidR="0043583A">
        <w:rPr>
          <w:rFonts w:ascii="Times New Roman" w:eastAsiaTheme="minorHAnsi" w:hAnsi="Times New Roman"/>
          <w:sz w:val="26"/>
          <w:szCs w:val="26"/>
        </w:rPr>
        <w:t>а</w:t>
      </w:r>
      <w:r w:rsidR="000158F1" w:rsidRPr="00B92432">
        <w:rPr>
          <w:rFonts w:ascii="Times New Roman" w:eastAsiaTheme="minorHAnsi" w:hAnsi="Times New Roman"/>
          <w:sz w:val="26"/>
          <w:szCs w:val="26"/>
        </w:rPr>
        <w:t xml:space="preserve"> будет направлена на обеспечение до 2030 года поддержания объема государственного долга Чувашской Республики в пределах 50% суммы доходов республиканского бюджета Чувашской Республики без учета безвозмездных поступлений с одновременным сохранением средневзв</w:t>
      </w:r>
      <w:r w:rsidR="000158F1" w:rsidRPr="00B92432">
        <w:rPr>
          <w:rFonts w:ascii="Times New Roman" w:eastAsiaTheme="minorHAnsi" w:hAnsi="Times New Roman"/>
          <w:sz w:val="26"/>
          <w:szCs w:val="26"/>
        </w:rPr>
        <w:t>е</w:t>
      </w:r>
      <w:r w:rsidR="000158F1" w:rsidRPr="00B92432">
        <w:rPr>
          <w:rFonts w:ascii="Times New Roman" w:eastAsiaTheme="minorHAnsi" w:hAnsi="Times New Roman"/>
          <w:sz w:val="26"/>
          <w:szCs w:val="26"/>
        </w:rPr>
        <w:t>шенного объема государственного долга за месяц не более 10,0 млрд. рублей.</w:t>
      </w:r>
    </w:p>
    <w:p w:rsidR="00195363" w:rsidRPr="00195363" w:rsidRDefault="0043583A" w:rsidP="00E21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="00CC44A1" w:rsidRPr="00195363">
        <w:rPr>
          <w:rFonts w:ascii="Times New Roman" w:eastAsiaTheme="minorHAnsi" w:hAnsi="Times New Roman"/>
          <w:sz w:val="26"/>
          <w:szCs w:val="26"/>
        </w:rPr>
        <w:t>и</w:t>
      </w:r>
      <w:r w:rsidR="00D80C99" w:rsidRPr="00195363">
        <w:rPr>
          <w:rFonts w:ascii="Times New Roman" w:eastAsia="Times New Roman" w:hAnsi="Times New Roman"/>
          <w:sz w:val="26"/>
          <w:szCs w:val="26"/>
          <w:lang w:eastAsia="ru-RU"/>
        </w:rPr>
        <w:t xml:space="preserve">зменения 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в Бюджетный прогноз до 2030 года внесены </w:t>
      </w:r>
      <w:r w:rsidR="00CC44A1" w:rsidRPr="00195363">
        <w:rPr>
          <w:rFonts w:ascii="Times New Roman" w:eastAsiaTheme="minorHAnsi" w:hAnsi="Times New Roman"/>
          <w:sz w:val="26"/>
          <w:szCs w:val="26"/>
        </w:rPr>
        <w:t>по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доход</w:t>
      </w:r>
      <w:r w:rsidR="00CC44A1" w:rsidRPr="00195363">
        <w:rPr>
          <w:rFonts w:ascii="Times New Roman" w:eastAsiaTheme="minorHAnsi" w:hAnsi="Times New Roman"/>
          <w:sz w:val="26"/>
          <w:szCs w:val="26"/>
        </w:rPr>
        <w:t>ам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и расход</w:t>
      </w:r>
      <w:r w:rsidR="00CC44A1" w:rsidRPr="00195363">
        <w:rPr>
          <w:rFonts w:ascii="Times New Roman" w:eastAsiaTheme="minorHAnsi" w:hAnsi="Times New Roman"/>
          <w:sz w:val="26"/>
          <w:szCs w:val="26"/>
        </w:rPr>
        <w:t>ам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</w:t>
      </w:r>
      <w:r w:rsidRPr="00195363">
        <w:rPr>
          <w:rFonts w:ascii="Times New Roman" w:eastAsiaTheme="minorHAnsi" w:hAnsi="Times New Roman"/>
          <w:sz w:val="26"/>
          <w:szCs w:val="26"/>
        </w:rPr>
        <w:t>Территориального фонда обязательного медицинского страхования Ч</w:t>
      </w:r>
      <w:r w:rsidRPr="00195363">
        <w:rPr>
          <w:rFonts w:ascii="Times New Roman" w:eastAsiaTheme="minorHAnsi" w:hAnsi="Times New Roman"/>
          <w:sz w:val="26"/>
          <w:szCs w:val="26"/>
        </w:rPr>
        <w:t>у</w:t>
      </w:r>
      <w:r w:rsidRPr="00195363">
        <w:rPr>
          <w:rFonts w:ascii="Times New Roman" w:eastAsiaTheme="minorHAnsi" w:hAnsi="Times New Roman"/>
          <w:sz w:val="26"/>
          <w:szCs w:val="26"/>
        </w:rPr>
        <w:t>вашской Республики (далее – ТФОМС Чувашской Республики)</w:t>
      </w:r>
      <w:proofErr w:type="gramStart"/>
      <w:r w:rsidRPr="00195363">
        <w:rPr>
          <w:rFonts w:ascii="Times New Roman" w:eastAsiaTheme="minorHAnsi" w:hAnsi="Times New Roman"/>
          <w:sz w:val="26"/>
          <w:szCs w:val="26"/>
        </w:rPr>
        <w:t xml:space="preserve"> 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>.</w:t>
      </w:r>
      <w:proofErr w:type="gramEnd"/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При этом отмеч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>а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ем, что эти показатели на </w:t>
      </w:r>
      <w:r w:rsidR="00D80C99" w:rsidRPr="00195363">
        <w:rPr>
          <w:rFonts w:ascii="Times New Roman" w:hAnsi="Times New Roman"/>
          <w:sz w:val="26"/>
          <w:szCs w:val="26"/>
        </w:rPr>
        <w:t>201</w:t>
      </w:r>
      <w:r w:rsidR="00C9019B" w:rsidRPr="00195363">
        <w:rPr>
          <w:rFonts w:ascii="Times New Roman" w:hAnsi="Times New Roman"/>
          <w:sz w:val="26"/>
          <w:szCs w:val="26"/>
        </w:rPr>
        <w:t>8</w:t>
      </w:r>
      <w:r w:rsidR="00D80C99" w:rsidRPr="00195363">
        <w:rPr>
          <w:rFonts w:ascii="Times New Roman" w:hAnsi="Times New Roman"/>
          <w:sz w:val="26"/>
          <w:szCs w:val="26"/>
        </w:rPr>
        <w:t>–20</w:t>
      </w:r>
      <w:r w:rsidR="00C9019B" w:rsidRPr="00195363">
        <w:rPr>
          <w:rFonts w:ascii="Times New Roman" w:hAnsi="Times New Roman"/>
          <w:sz w:val="26"/>
          <w:szCs w:val="26"/>
        </w:rPr>
        <w:t>20</w:t>
      </w:r>
      <w:r w:rsidR="00D80C99" w:rsidRPr="00195363">
        <w:rPr>
          <w:rFonts w:ascii="Times New Roman" w:hAnsi="Times New Roman"/>
          <w:sz w:val="26"/>
          <w:szCs w:val="26"/>
        </w:rPr>
        <w:t xml:space="preserve"> годы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соответствуют проекту закона Чува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>ш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>ской Республики «О бюджете Территориального фонда обязательного медицинск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>о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>го страхования Чувашской Республики на 201</w:t>
      </w:r>
      <w:r w:rsidR="00C9019B" w:rsidRPr="00195363">
        <w:rPr>
          <w:rFonts w:ascii="Times New Roman" w:eastAsiaTheme="minorHAnsi" w:hAnsi="Times New Roman"/>
          <w:sz w:val="26"/>
          <w:szCs w:val="26"/>
        </w:rPr>
        <w:t>8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год и на плановый период 201</w:t>
      </w:r>
      <w:r w:rsidR="00C9019B" w:rsidRPr="00195363">
        <w:rPr>
          <w:rFonts w:ascii="Times New Roman" w:eastAsiaTheme="minorHAnsi" w:hAnsi="Times New Roman"/>
          <w:sz w:val="26"/>
          <w:szCs w:val="26"/>
        </w:rPr>
        <w:t>9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и 20</w:t>
      </w:r>
      <w:r w:rsidR="00C9019B" w:rsidRPr="00195363">
        <w:rPr>
          <w:rFonts w:ascii="Times New Roman" w:eastAsiaTheme="minorHAnsi" w:hAnsi="Times New Roman"/>
          <w:sz w:val="26"/>
          <w:szCs w:val="26"/>
        </w:rPr>
        <w:t>20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годов». </w:t>
      </w:r>
      <w:proofErr w:type="gramStart"/>
      <w:r w:rsidR="002105CB" w:rsidRPr="00195363">
        <w:rPr>
          <w:rFonts w:ascii="Times New Roman" w:eastAsiaTheme="minorHAnsi" w:hAnsi="Times New Roman"/>
          <w:sz w:val="26"/>
          <w:szCs w:val="26"/>
        </w:rPr>
        <w:t>При определении доходной части бюджета ТФОМС Чувашской Ре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>с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 xml:space="preserve">публики 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размеры </w:t>
      </w:r>
      <w:proofErr w:type="spellStart"/>
      <w:r w:rsidR="00195363" w:rsidRPr="00195363">
        <w:rPr>
          <w:rFonts w:ascii="Times New Roman" w:eastAsiaTheme="minorHAnsi" w:hAnsi="Times New Roman"/>
          <w:sz w:val="26"/>
          <w:szCs w:val="26"/>
        </w:rPr>
        <w:t>подушевого</w:t>
      </w:r>
      <w:proofErr w:type="spellEnd"/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 норматива финансового обеспечения базовой пр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о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граммы  ОМС 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>на 201</w:t>
      </w:r>
      <w:r w:rsidR="00C9019B" w:rsidRPr="00195363">
        <w:rPr>
          <w:rFonts w:ascii="Times New Roman" w:eastAsiaTheme="minorHAnsi" w:hAnsi="Times New Roman"/>
          <w:sz w:val="26"/>
          <w:szCs w:val="26"/>
        </w:rPr>
        <w:t>8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 xml:space="preserve"> 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и 2019 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>год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ы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 xml:space="preserve"> учтен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ы</w:t>
      </w:r>
      <w:r w:rsidR="002105CB" w:rsidRPr="00195363">
        <w:rPr>
          <w:rFonts w:ascii="Times New Roman" w:eastAsiaTheme="minorHAnsi" w:hAnsi="Times New Roman"/>
          <w:sz w:val="26"/>
          <w:szCs w:val="26"/>
        </w:rPr>
        <w:t xml:space="preserve"> 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в </w:t>
      </w:r>
      <w:r w:rsidR="00D0007D">
        <w:rPr>
          <w:rFonts w:ascii="Times New Roman" w:eastAsiaTheme="minorHAnsi" w:hAnsi="Times New Roman"/>
          <w:sz w:val="26"/>
          <w:szCs w:val="26"/>
        </w:rPr>
        <w:t xml:space="preserve">соответствии с 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постановлени</w:t>
      </w:r>
      <w:r w:rsidR="00D0007D">
        <w:rPr>
          <w:rFonts w:ascii="Times New Roman" w:eastAsiaTheme="minorHAnsi" w:hAnsi="Times New Roman"/>
          <w:sz w:val="26"/>
          <w:szCs w:val="26"/>
        </w:rPr>
        <w:t>ем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 Пр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а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вительства Российской Федерации от 19.12.2016 №1403 «О программе госуда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р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ственных г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а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рантий бесплатного оказания гражданам медицинской помощи на 2017 год и на плановый период 2018 и 2019 годов».</w:t>
      </w:r>
      <w:proofErr w:type="gramEnd"/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195363" w:rsidRPr="00195363">
        <w:rPr>
          <w:rFonts w:ascii="Times New Roman" w:eastAsiaTheme="minorHAnsi" w:hAnsi="Times New Roman"/>
          <w:sz w:val="26"/>
          <w:szCs w:val="26"/>
        </w:rPr>
        <w:t>Подушевой</w:t>
      </w:r>
      <w:proofErr w:type="spellEnd"/>
      <w:r w:rsidR="00195363" w:rsidRPr="00195363">
        <w:rPr>
          <w:rFonts w:ascii="Times New Roman" w:eastAsiaTheme="minorHAnsi" w:hAnsi="Times New Roman"/>
          <w:sz w:val="26"/>
          <w:szCs w:val="26"/>
        </w:rPr>
        <w:t xml:space="preserve"> норматив на 2020 год рассчитан с учетом роста на 4,0%, предусмотренного проектом Основных напра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в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лений бюджетной, налоговой и таможенно-тарифной политики на 2018 год и на плановый п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е</w:t>
      </w:r>
      <w:r w:rsidR="00195363" w:rsidRPr="00195363">
        <w:rPr>
          <w:rFonts w:ascii="Times New Roman" w:eastAsiaTheme="minorHAnsi" w:hAnsi="Times New Roman"/>
          <w:sz w:val="26"/>
          <w:szCs w:val="26"/>
        </w:rPr>
        <w:t>риод 2019 и 2020 годов.</w:t>
      </w:r>
    </w:p>
    <w:p w:rsidR="00157E04" w:rsidRDefault="008D2E40" w:rsidP="00E21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95363">
        <w:rPr>
          <w:rFonts w:ascii="Times New Roman" w:eastAsiaTheme="minorHAnsi" w:hAnsi="Times New Roman"/>
          <w:sz w:val="26"/>
          <w:szCs w:val="26"/>
        </w:rPr>
        <w:t>Доходы и расходы ТФОМС Чувашской Республики</w:t>
      </w:r>
      <w:r w:rsidR="00D80C99" w:rsidRPr="00195363">
        <w:rPr>
          <w:rFonts w:ascii="Times New Roman" w:eastAsiaTheme="minorHAnsi" w:hAnsi="Times New Roman"/>
          <w:sz w:val="26"/>
          <w:szCs w:val="26"/>
        </w:rPr>
        <w:t xml:space="preserve"> на 2020</w:t>
      </w:r>
      <w:r w:rsidR="00D80C99" w:rsidRPr="00195363">
        <w:rPr>
          <w:rFonts w:ascii="Times New Roman" w:hAnsi="Times New Roman"/>
          <w:sz w:val="26"/>
          <w:szCs w:val="26"/>
        </w:rPr>
        <w:t>–</w:t>
      </w:r>
      <w:bookmarkStart w:id="0" w:name="_GoBack"/>
      <w:bookmarkEnd w:id="0"/>
      <w:r w:rsidR="00D80C99" w:rsidRPr="00195363">
        <w:rPr>
          <w:rFonts w:ascii="Times New Roman" w:hAnsi="Times New Roman"/>
          <w:sz w:val="26"/>
          <w:szCs w:val="26"/>
        </w:rPr>
        <w:t xml:space="preserve">2030 годы определены с учетом индексов потребительских цен в среднем за год в процентах к предыдущему году, установленных </w:t>
      </w:r>
      <w:r w:rsidR="00157E04" w:rsidRPr="00195363">
        <w:rPr>
          <w:rFonts w:ascii="Times New Roman" w:hAnsi="Times New Roman"/>
          <w:sz w:val="26"/>
          <w:szCs w:val="26"/>
        </w:rPr>
        <w:t xml:space="preserve">постановлением Кабинета Министров </w:t>
      </w:r>
      <w:r w:rsidR="00157E04" w:rsidRPr="00195363">
        <w:rPr>
          <w:rFonts w:ascii="Times New Roman" w:eastAsia="Times New Roman" w:hAnsi="Times New Roman"/>
          <w:sz w:val="26"/>
          <w:szCs w:val="26"/>
          <w:lang w:eastAsia="ru-RU"/>
        </w:rPr>
        <w:t>Чува</w:t>
      </w:r>
      <w:r w:rsidR="00157E04" w:rsidRPr="00195363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r w:rsidR="00157E04" w:rsidRPr="0019536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ской Республики от 22 октября 2015 года № 371 «О прогнозе </w:t>
      </w:r>
      <w:r w:rsidR="00157E04" w:rsidRPr="00195363">
        <w:rPr>
          <w:rFonts w:ascii="Times New Roman" w:eastAsiaTheme="minorHAnsi" w:hAnsi="Times New Roman"/>
          <w:sz w:val="26"/>
          <w:szCs w:val="26"/>
        </w:rPr>
        <w:t>социально-экономического развития Чувашской Республики на период до 2030 года».</w:t>
      </w:r>
      <w:r w:rsidR="00157E04">
        <w:rPr>
          <w:rFonts w:ascii="Times New Roman" w:eastAsiaTheme="minorHAnsi" w:hAnsi="Times New Roman"/>
          <w:sz w:val="26"/>
          <w:szCs w:val="26"/>
        </w:rPr>
        <w:t xml:space="preserve"> </w:t>
      </w:r>
    </w:p>
    <w:sectPr w:rsidR="00157E04" w:rsidSect="004F493B">
      <w:headerReference w:type="default" r:id="rId11"/>
      <w:headerReference w:type="firs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C3" w:rsidRDefault="00D81DC3" w:rsidP="00D81DC3">
      <w:pPr>
        <w:spacing w:after="0" w:line="240" w:lineRule="auto"/>
      </w:pPr>
      <w:r>
        <w:separator/>
      </w:r>
    </w:p>
  </w:endnote>
  <w:endnote w:type="continuationSeparator" w:id="0">
    <w:p w:rsidR="00D81DC3" w:rsidRDefault="00D81DC3" w:rsidP="00D8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C3" w:rsidRDefault="00D81DC3" w:rsidP="00D81DC3">
      <w:pPr>
        <w:spacing w:after="0" w:line="240" w:lineRule="auto"/>
      </w:pPr>
      <w:r>
        <w:separator/>
      </w:r>
    </w:p>
  </w:footnote>
  <w:footnote w:type="continuationSeparator" w:id="0">
    <w:p w:rsidR="00D81DC3" w:rsidRDefault="00D81DC3" w:rsidP="00D8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557459"/>
      <w:docPartObj>
        <w:docPartGallery w:val="Page Numbers (Top of Page)"/>
        <w:docPartUnique/>
      </w:docPartObj>
    </w:sdtPr>
    <w:sdtEndPr/>
    <w:sdtContent>
      <w:p w:rsidR="00F907FD" w:rsidRDefault="00F907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7D">
          <w:rPr>
            <w:noProof/>
          </w:rPr>
          <w:t>4</w:t>
        </w:r>
        <w:r>
          <w:fldChar w:fldCharType="end"/>
        </w:r>
      </w:p>
    </w:sdtContent>
  </w:sdt>
  <w:p w:rsidR="00D81DC3" w:rsidRDefault="00D81D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FD" w:rsidRDefault="00F907FD">
    <w:pPr>
      <w:pStyle w:val="a3"/>
      <w:jc w:val="center"/>
    </w:pPr>
  </w:p>
  <w:p w:rsidR="00D81DC3" w:rsidRDefault="00D81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formsDesign/>
  <w:defaultTabStop w:val="708"/>
  <w:autoHyphenation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8F"/>
    <w:rsid w:val="000158F1"/>
    <w:rsid w:val="00021D3E"/>
    <w:rsid w:val="00022D98"/>
    <w:rsid w:val="00023A8F"/>
    <w:rsid w:val="00027DA7"/>
    <w:rsid w:val="0004172F"/>
    <w:rsid w:val="0005533D"/>
    <w:rsid w:val="000664F3"/>
    <w:rsid w:val="00070566"/>
    <w:rsid w:val="00083715"/>
    <w:rsid w:val="000915F5"/>
    <w:rsid w:val="000A39B4"/>
    <w:rsid w:val="000A6160"/>
    <w:rsid w:val="000C1BB7"/>
    <w:rsid w:val="000C76E8"/>
    <w:rsid w:val="000D54BB"/>
    <w:rsid w:val="00102794"/>
    <w:rsid w:val="00122D03"/>
    <w:rsid w:val="00127002"/>
    <w:rsid w:val="001319E3"/>
    <w:rsid w:val="00143E51"/>
    <w:rsid w:val="00150999"/>
    <w:rsid w:val="00157E04"/>
    <w:rsid w:val="0017505C"/>
    <w:rsid w:val="001755D7"/>
    <w:rsid w:val="00194B54"/>
    <w:rsid w:val="00195363"/>
    <w:rsid w:val="001C3C7E"/>
    <w:rsid w:val="001D3B40"/>
    <w:rsid w:val="001E6DD7"/>
    <w:rsid w:val="001F4C83"/>
    <w:rsid w:val="002105CB"/>
    <w:rsid w:val="00224AAE"/>
    <w:rsid w:val="00224BE7"/>
    <w:rsid w:val="0023215D"/>
    <w:rsid w:val="002404FB"/>
    <w:rsid w:val="00247926"/>
    <w:rsid w:val="00255F21"/>
    <w:rsid w:val="00257B1E"/>
    <w:rsid w:val="00260766"/>
    <w:rsid w:val="00262C04"/>
    <w:rsid w:val="00265208"/>
    <w:rsid w:val="002654B9"/>
    <w:rsid w:val="00266B95"/>
    <w:rsid w:val="00271B0A"/>
    <w:rsid w:val="00274B4D"/>
    <w:rsid w:val="00291F62"/>
    <w:rsid w:val="00293261"/>
    <w:rsid w:val="002A34B0"/>
    <w:rsid w:val="002E5201"/>
    <w:rsid w:val="002F2FD1"/>
    <w:rsid w:val="00313366"/>
    <w:rsid w:val="003160E9"/>
    <w:rsid w:val="0032309B"/>
    <w:rsid w:val="00327E5C"/>
    <w:rsid w:val="003346FD"/>
    <w:rsid w:val="00334705"/>
    <w:rsid w:val="0036323B"/>
    <w:rsid w:val="00381805"/>
    <w:rsid w:val="0039325F"/>
    <w:rsid w:val="003941ED"/>
    <w:rsid w:val="003B3992"/>
    <w:rsid w:val="003D1C78"/>
    <w:rsid w:val="004135E3"/>
    <w:rsid w:val="00417677"/>
    <w:rsid w:val="00421531"/>
    <w:rsid w:val="0043583A"/>
    <w:rsid w:val="00445E84"/>
    <w:rsid w:val="0047598D"/>
    <w:rsid w:val="00482906"/>
    <w:rsid w:val="004C057F"/>
    <w:rsid w:val="004C43B0"/>
    <w:rsid w:val="004C43D1"/>
    <w:rsid w:val="004C78CC"/>
    <w:rsid w:val="004D406C"/>
    <w:rsid w:val="004E2765"/>
    <w:rsid w:val="004F493B"/>
    <w:rsid w:val="00503B3F"/>
    <w:rsid w:val="005046FF"/>
    <w:rsid w:val="005114B6"/>
    <w:rsid w:val="0051576F"/>
    <w:rsid w:val="0052439C"/>
    <w:rsid w:val="00525D1F"/>
    <w:rsid w:val="00527644"/>
    <w:rsid w:val="00535997"/>
    <w:rsid w:val="00537056"/>
    <w:rsid w:val="00540099"/>
    <w:rsid w:val="0054196A"/>
    <w:rsid w:val="0054371E"/>
    <w:rsid w:val="0056050B"/>
    <w:rsid w:val="00563BE6"/>
    <w:rsid w:val="005714C4"/>
    <w:rsid w:val="00573BB8"/>
    <w:rsid w:val="005754A8"/>
    <w:rsid w:val="00586B57"/>
    <w:rsid w:val="005953FF"/>
    <w:rsid w:val="005E1020"/>
    <w:rsid w:val="006310A8"/>
    <w:rsid w:val="0063700D"/>
    <w:rsid w:val="00640520"/>
    <w:rsid w:val="006412EE"/>
    <w:rsid w:val="00647FBA"/>
    <w:rsid w:val="00654CAE"/>
    <w:rsid w:val="00655F64"/>
    <w:rsid w:val="00677707"/>
    <w:rsid w:val="0067785F"/>
    <w:rsid w:val="00681984"/>
    <w:rsid w:val="006A1481"/>
    <w:rsid w:val="006A1DC7"/>
    <w:rsid w:val="006B40AE"/>
    <w:rsid w:val="006C1A6E"/>
    <w:rsid w:val="006C2169"/>
    <w:rsid w:val="006D5AAA"/>
    <w:rsid w:val="006F272D"/>
    <w:rsid w:val="00705593"/>
    <w:rsid w:val="007113BD"/>
    <w:rsid w:val="00727B23"/>
    <w:rsid w:val="007308E3"/>
    <w:rsid w:val="00732430"/>
    <w:rsid w:val="00744E2A"/>
    <w:rsid w:val="00752C33"/>
    <w:rsid w:val="00763ED2"/>
    <w:rsid w:val="00770198"/>
    <w:rsid w:val="00771EBC"/>
    <w:rsid w:val="007742CB"/>
    <w:rsid w:val="00774754"/>
    <w:rsid w:val="007A4FD2"/>
    <w:rsid w:val="007A794C"/>
    <w:rsid w:val="007C1CCA"/>
    <w:rsid w:val="007D0776"/>
    <w:rsid w:val="007E1EE0"/>
    <w:rsid w:val="007E43BF"/>
    <w:rsid w:val="00810A56"/>
    <w:rsid w:val="00823EFC"/>
    <w:rsid w:val="008754F7"/>
    <w:rsid w:val="0089317C"/>
    <w:rsid w:val="008A056A"/>
    <w:rsid w:val="008A3D52"/>
    <w:rsid w:val="008B11C8"/>
    <w:rsid w:val="008C3369"/>
    <w:rsid w:val="008C69EC"/>
    <w:rsid w:val="008D0F76"/>
    <w:rsid w:val="008D11A5"/>
    <w:rsid w:val="008D1FCD"/>
    <w:rsid w:val="008D2E40"/>
    <w:rsid w:val="00923CFD"/>
    <w:rsid w:val="009270CA"/>
    <w:rsid w:val="00950E91"/>
    <w:rsid w:val="00951CD5"/>
    <w:rsid w:val="009621C8"/>
    <w:rsid w:val="009923CA"/>
    <w:rsid w:val="00993CF6"/>
    <w:rsid w:val="009A15DD"/>
    <w:rsid w:val="009B501A"/>
    <w:rsid w:val="009E60B1"/>
    <w:rsid w:val="009E6EAF"/>
    <w:rsid w:val="009F7B36"/>
    <w:rsid w:val="00A07210"/>
    <w:rsid w:val="00A1174A"/>
    <w:rsid w:val="00A30907"/>
    <w:rsid w:val="00A424FD"/>
    <w:rsid w:val="00A532BA"/>
    <w:rsid w:val="00A54958"/>
    <w:rsid w:val="00A55BF7"/>
    <w:rsid w:val="00A604D6"/>
    <w:rsid w:val="00A915D6"/>
    <w:rsid w:val="00AA37B3"/>
    <w:rsid w:val="00AA5071"/>
    <w:rsid w:val="00AA5435"/>
    <w:rsid w:val="00AB4178"/>
    <w:rsid w:val="00AD2A61"/>
    <w:rsid w:val="00AD6245"/>
    <w:rsid w:val="00AF0774"/>
    <w:rsid w:val="00AF19F4"/>
    <w:rsid w:val="00B30AAB"/>
    <w:rsid w:val="00B50B04"/>
    <w:rsid w:val="00B8257E"/>
    <w:rsid w:val="00B85ADB"/>
    <w:rsid w:val="00B92432"/>
    <w:rsid w:val="00BA39BD"/>
    <w:rsid w:val="00BA4C4B"/>
    <w:rsid w:val="00BB38A3"/>
    <w:rsid w:val="00BB64FF"/>
    <w:rsid w:val="00BC520D"/>
    <w:rsid w:val="00BC737F"/>
    <w:rsid w:val="00BD544C"/>
    <w:rsid w:val="00BF66B4"/>
    <w:rsid w:val="00BF78AC"/>
    <w:rsid w:val="00C0028D"/>
    <w:rsid w:val="00C00719"/>
    <w:rsid w:val="00C36BDA"/>
    <w:rsid w:val="00C41436"/>
    <w:rsid w:val="00C50CB3"/>
    <w:rsid w:val="00C86020"/>
    <w:rsid w:val="00C9019B"/>
    <w:rsid w:val="00CA70AB"/>
    <w:rsid w:val="00CB19D5"/>
    <w:rsid w:val="00CC44A1"/>
    <w:rsid w:val="00CD588F"/>
    <w:rsid w:val="00CE604A"/>
    <w:rsid w:val="00CF67B5"/>
    <w:rsid w:val="00D0007D"/>
    <w:rsid w:val="00D038BF"/>
    <w:rsid w:val="00D03A2F"/>
    <w:rsid w:val="00D130B8"/>
    <w:rsid w:val="00D13EBF"/>
    <w:rsid w:val="00D16970"/>
    <w:rsid w:val="00D24048"/>
    <w:rsid w:val="00D24071"/>
    <w:rsid w:val="00D344AF"/>
    <w:rsid w:val="00D41B64"/>
    <w:rsid w:val="00D4352B"/>
    <w:rsid w:val="00D46479"/>
    <w:rsid w:val="00D61E86"/>
    <w:rsid w:val="00D648E0"/>
    <w:rsid w:val="00D65169"/>
    <w:rsid w:val="00D80C99"/>
    <w:rsid w:val="00D81DC3"/>
    <w:rsid w:val="00D945BD"/>
    <w:rsid w:val="00DB1544"/>
    <w:rsid w:val="00DD0EE4"/>
    <w:rsid w:val="00E077EC"/>
    <w:rsid w:val="00E20535"/>
    <w:rsid w:val="00E214CE"/>
    <w:rsid w:val="00E35454"/>
    <w:rsid w:val="00E41F57"/>
    <w:rsid w:val="00E727F7"/>
    <w:rsid w:val="00E76013"/>
    <w:rsid w:val="00E86E4B"/>
    <w:rsid w:val="00E90C71"/>
    <w:rsid w:val="00EA0D79"/>
    <w:rsid w:val="00EC603E"/>
    <w:rsid w:val="00EE0CF5"/>
    <w:rsid w:val="00F0277A"/>
    <w:rsid w:val="00F077D6"/>
    <w:rsid w:val="00F115E9"/>
    <w:rsid w:val="00F203CA"/>
    <w:rsid w:val="00F45F17"/>
    <w:rsid w:val="00F45F6B"/>
    <w:rsid w:val="00F477B3"/>
    <w:rsid w:val="00F535EB"/>
    <w:rsid w:val="00F66460"/>
    <w:rsid w:val="00F907FD"/>
    <w:rsid w:val="00FA4265"/>
    <w:rsid w:val="00FA654A"/>
    <w:rsid w:val="00FB50FF"/>
    <w:rsid w:val="00FC09BB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4BE7"/>
    <w:pPr>
      <w:spacing w:after="0" w:line="240" w:lineRule="auto"/>
      <w:ind w:right="5000"/>
      <w:jc w:val="both"/>
    </w:pPr>
    <w:rPr>
      <w:rFonts w:ascii="Times New Roman" w:eastAsia="Times New Roman" w:hAnsi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rsid w:val="00224BE7"/>
    <w:rPr>
      <w:rFonts w:ascii="Times New Roman" w:eastAsia="Times New Roman" w:hAnsi="Times New Roman" w:cs="Times New Roman"/>
      <w:b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8754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54F7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641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D8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DC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BA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link w:val="aa"/>
    <w:uiPriority w:val="99"/>
    <w:rsid w:val="00D03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0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2"/>
    <w:uiPriority w:val="99"/>
    <w:rsid w:val="00744E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0719"/>
    <w:pPr>
      <w:spacing w:after="0" w:line="240" w:lineRule="auto"/>
      <w:ind w:left="451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Название Знак"/>
    <w:basedOn w:val="a0"/>
    <w:link w:val="ab"/>
    <w:rsid w:val="00C00719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4BE7"/>
    <w:pPr>
      <w:spacing w:after="0" w:line="240" w:lineRule="auto"/>
      <w:ind w:right="5000"/>
      <w:jc w:val="both"/>
    </w:pPr>
    <w:rPr>
      <w:rFonts w:ascii="Times New Roman" w:eastAsia="Times New Roman" w:hAnsi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rsid w:val="00224BE7"/>
    <w:rPr>
      <w:rFonts w:ascii="Times New Roman" w:eastAsia="Times New Roman" w:hAnsi="Times New Roman" w:cs="Times New Roman"/>
      <w:b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8754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54F7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641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D8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DC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BA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link w:val="aa"/>
    <w:uiPriority w:val="99"/>
    <w:rsid w:val="00D03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0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2"/>
    <w:uiPriority w:val="99"/>
    <w:rsid w:val="00744E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0719"/>
    <w:pPr>
      <w:spacing w:after="0" w:line="240" w:lineRule="auto"/>
      <w:ind w:left="451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Название Знак"/>
    <w:basedOn w:val="a0"/>
    <w:link w:val="ab"/>
    <w:rsid w:val="00C0071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396B3225C6510E7FD559C467EB07309BDBBEAEA9014E10795FE4FAB3DAE25CB890ABF091C8CF16A7493SC7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E103900EF9BA1A0F61EBEB315418B25D8F80A3FE87B3BE797F2CA0L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8B43D3505EE982F9D8919FAF8085A22DB33A03F80DDE925E926ADA9D77C66DE67415B1581893F58F6C3MDL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BBB5-C67B-429E-AD57-34697BF6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Елена Владимировна</dc:creator>
  <cp:lastModifiedBy>Муратова Фарида Халиковна</cp:lastModifiedBy>
  <cp:revision>18</cp:revision>
  <cp:lastPrinted>2016-10-20T14:28:00Z</cp:lastPrinted>
  <dcterms:created xsi:type="dcterms:W3CDTF">2016-10-28T07:31:00Z</dcterms:created>
  <dcterms:modified xsi:type="dcterms:W3CDTF">2017-10-06T14:28:00Z</dcterms:modified>
</cp:coreProperties>
</file>