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3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232"/>
      <w:bookmarkEnd w:id="0"/>
      <w:r>
        <w:t>ПЕРЕЧЕНЬ</w:t>
      </w:r>
    </w:p>
    <w:p w:rsidR="00D3163F" w:rsidRDefault="00D3163F">
      <w:pPr>
        <w:pStyle w:val="ConsPlusTitle"/>
        <w:jc w:val="center"/>
      </w:pPr>
      <w:r>
        <w:t>ГЛАВНЫХ АДМИНИСТРАТОРОВ ДОХОДОВ РЕСПУБЛИКАНСКОГО БЮДЖЕТА</w:t>
      </w:r>
    </w:p>
    <w:p w:rsidR="00D3163F" w:rsidRDefault="00D3163F">
      <w:pPr>
        <w:pStyle w:val="ConsPlusTitle"/>
        <w:jc w:val="center"/>
      </w:pPr>
      <w:r>
        <w:t>ЧУВАШСКОЙ РЕСПУБЛИКИ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5386"/>
      </w:tblGrid>
      <w:tr w:rsidR="00D3163F"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главного администратора доходов республиканского бюджета Чувашской Республики</w:t>
            </w:r>
          </w:p>
        </w:tc>
      </w:tr>
      <w:tr w:rsidR="00D3163F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доходов республиканского бюджета Чувашской Республики</w:t>
            </w:r>
          </w:p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</w:tr>
      <w:tr w:rsidR="00D3163F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Уполномоченный по правам человека в Чувашской Республике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Администрация Главы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2 02 45141 02 0000 150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2 02 45142 02 0000 150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Контрольно-счетная палата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Государственная служба Чувашской Республики по конкурентной политике и тарифам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Государственная служба Чувашской Республики по делам юстиции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2 02 35120 02 0000 150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821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промышленности и энергетики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Государственный Совет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1 16 10057 02 0000 140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proofErr w:type="gramEnd"/>
            <w:r>
              <w:t xml:space="preserve"> и муниципальных нужд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1 16 10077 02 0000 140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финансируемого за счет средств дорожного фонда субъекта Российской Федерации, в связи с односторонним отказом исполнителя (подрядчика) от его исполнения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1 16 11063 01 0000 140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</w:t>
            </w:r>
            <w:r>
              <w:lastRenderedPageBreak/>
              <w:t>тяжеловесных и (или) крупногабаритных грузов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2 02 25261 02 0000 150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мероприятия по развитию рынка газомоторного топлива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2 02 27372 02 0000 150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2 02 45393 02 0000 150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2 02 25021 02 0000 150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2 02 25082 02 0000 150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2 02 35135 02 0000 150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2 02 35176 02 0000 150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2 02 45424 02 0000 150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2 03 02030 02 0000 150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2 03 02040 02 0000 150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2 04 02040 02 0000 150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</w:t>
            </w:r>
            <w:r>
              <w:lastRenderedPageBreak/>
              <w:t>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1 14 13020 02 0000 410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от приватизации имущества, находящегося в собственности субъектов Российской Федерации, в части приватизации нефинансовых активов имущества казны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2 02 25066 02 0000 150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2 02 25527 02 0000 150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2 02 27384 02 0000 150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2 02 35469 02 0000 150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проведение Всероссийской переписи </w:t>
            </w:r>
            <w:r>
              <w:lastRenderedPageBreak/>
              <w:t>населения 2020 года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2 02 45296 02 0000 150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2 02 25013 02 0000 150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сокращение доли загрязненных сточных вод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2 02 25016 02 0000 150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мероприятия федеральной целевой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2 02 25065 02 0000 150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2 02 25242 02 0000 150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2 02 25500 02 0000 150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2 02 35128 02 0000 150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2 02 35129 02 0000 150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2 02 35429 02 0000 150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2 02 35430 02 0000 150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2 02 35431 02 0000 150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2 02 35432 02 0000 150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2 02 25114 02 0000 150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2 02 25138 02 0000 150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</w:t>
            </w:r>
            <w:r>
              <w:lastRenderedPageBreak/>
              <w:t>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2 02 25170 02 0000 150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2 02 25201 02 0000 150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2 02 25202 02 0000 150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2 02 25402 02 0000 150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2 02 25554 02 0000 150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2 02 25586 02 0000 150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2 02 35460 02 0000 150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2 02 45161 02 0000 150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2 02 45190 02 0000 150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переоснащение медицинских организаций, </w:t>
            </w:r>
            <w:r>
              <w:lastRenderedPageBreak/>
              <w:t>оказывающих медицинскую помощь больным с онкологическими заболеваниями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2 02 45192 02 0000 150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2 02 45196 02 0000 150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2 02 45216 02 0000 150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</w:t>
            </w:r>
            <w:proofErr w:type="spellStart"/>
            <w:r>
              <w:t>апластической</w:t>
            </w:r>
            <w:proofErr w:type="spellEnd"/>
            <w:r>
              <w:t xml:space="preserve"> анемией неуточненной, наследственным дефицитом факторов II</w:t>
            </w:r>
            <w:proofErr w:type="gramEnd"/>
            <w:r>
              <w:t xml:space="preserve">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), а также после трансплантации органов и (или) тканей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2 02 45468 02 0000 150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труда и социальной защиты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2 02 25084 02 0000 150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2 02 25086 02 0000 150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1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2 02 25291 02 0000 150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повышение эффективности службы занятости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2 02 25294 02 0000 150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2 02 25404 02 0000 150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2 02 25461 02 0000 150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2 02 25462 02 0000 150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2 02 25478 02 0000 150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2 02 25569 02 0000 150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2 02 27121 02 0000 150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2 02 35137 02 0000 150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переданных </w:t>
            </w:r>
            <w:r>
              <w:lastRenderedPageBreak/>
              <w:t>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2 02 35220 02 0000 150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2 02 35240 02 0000 150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2 02 35250 02 0000 150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2 02 35270 02 0000 150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2 02 35280 02 0000 150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2 02 35290 02 0000 150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2 02 35380 02 0000 150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2 02 35573 02 0000 150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2 02 45198 02 0000 150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социальную поддержку Героев Социалистического </w:t>
            </w:r>
            <w:r>
              <w:lastRenderedPageBreak/>
              <w:t>Труда, Героев Труда Российской Федерации и полных кавалеров ордена Трудовой Славы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2 02 45252 02 0000 150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2 02 45296 02 0000 150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2 02 90071 02 0000 150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2 02 25299 02 0000 150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2 02 25456 02 0000 150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театров юного зрителя и театров кукол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2 02 25466 02 0000 150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2 02 25467 02 0000 150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2 02 25509 02 0000 150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2 02 25516 02 0000 150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2 02 25517 02 0000 150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</w:t>
            </w:r>
            <w:r>
              <w:lastRenderedPageBreak/>
              <w:t>на поддержку творческой деятельности и техническое оснащение детских и кукольных театров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2 02 25519 02 0000 150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Субсидия бюджетам субъектов Российской Федерации на поддержку отрасли культуры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2 02 27233 02 0000 150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центров культурного развития в городах с числом жителей до 300 тысяч человек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2 02 45453 02 0000 150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2 02 45454 02 0000 150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2 02 45455 02 0000 150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реновацию учреждений отрасли культуры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физической культуры и спорта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пошлина за выдачу свидетельства о государственной аккредитации региональной спортивной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2 02 25081 02 0000 150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2 02 25228 02 0000 150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2 02 25229 02 0000 150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2 02 25495 02 0000 150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федеральной целевой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2 02 27139 02 0000 150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</w:t>
            </w:r>
            <w:r>
              <w:lastRenderedPageBreak/>
              <w:t>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2 02 45426 02 0000 150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2 02 25008 02 0000 150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2 02 25097 02 0000 150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2 02 25162 02 0000 150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создание центров непрерывного повышения профессионального мастерства педагогических </w:t>
            </w:r>
            <w:r>
              <w:lastRenderedPageBreak/>
              <w:t>работников и центров оценки профессионального мастерства и квалификации педагогов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2 02 25169 02 0000 150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2 02 25175 02 0000 150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ключевых центров развития детей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2 02 25177 02 0000 150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2 02 25187 02 0000 150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2 02 25189 02 0000 150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2 02 25210 02 0000 150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2 02 25219 02 0000 150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центров цифрового образования детей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2 02 25232 02 0000 150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2 02 25247 02 0000 150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2 02 25255 02 0000 150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благоустройство зданий государственных и </w:t>
            </w:r>
            <w: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2 02 25256 02 0000 150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2 02 25520 02 0000 150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2 02 25534 02 0000 150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2 02 25537 02 0000 150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2 02 35260 02 0000 150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2 02 25480 02 0000 150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2 02 25502 00 0000 150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на 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2 02 25508 02 0000 150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Субсидии бюджетам субъектов Российской Федерации на поддержку сельскохозяйственного производства по </w:t>
            </w:r>
            <w:r>
              <w:lastRenderedPageBreak/>
              <w:t xml:space="preserve">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2 02 25568 02 0000 150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2 02 45433 02 0000 150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1 18 01210 02 0000 150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Поступления в бюджеты субъектов Российской Федерации по решениям о взыскании средств из иных бюджетов бюджетной системы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2 02 15001 02 0000 150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2 02 15002 02 0000 150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2 02 15009 02 0000 150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2 02 35118 02 0000 150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2 02 35900 02 0000 150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Единая субвенция бюджетам субъектов Российской Федерации и бюджету г. Байконура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2 08 02000 02 0000 150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Иные доходы республиканского бюджета Чувашской Республики, администрирование которых может осуществляться главными администраторами доходов республиканского бюджета Чувашской Республики в пределах их компетенции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Прочие государственные пошлины за совершение прочих юридически значимых действий, подлежащие зачислению в бюджет субъекта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Платежи, взимаемые государственными органами (организациями) субъектов Российской Федерации за </w:t>
            </w:r>
            <w:r>
              <w:lastRenderedPageBreak/>
              <w:t>выполнение определенных функций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1 16 01052 01 0000 140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1 16 01062 01 0000 140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1 16 01063 01 0000 140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1 16 01072 01 0000 140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1 16 01073 01 0000 140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1 16 01082 01 0000 140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</w:t>
            </w:r>
            <w:r>
              <w:lastRenderedPageBreak/>
              <w:t xml:space="preserve"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1 16 01083 01 0000 140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1 16 01092 01 0000 140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1 16 01093 01 0000 140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1 16 01102 01 0000 140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1 16 01103 01 0000 140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1 16 01112 01 0000 140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</w:t>
            </w:r>
            <w:r>
              <w:lastRenderedPageBreak/>
              <w:t>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1 16 01113 01 0000 140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8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0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1 16 01132 01 0000 140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1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2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1 16 01142 01 0000 140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3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1 16 01143 01 0000 140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 xml:space="preserve">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1 16 01152 01 0000 140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5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6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1 16 01153 01 0000 140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7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8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9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1 16 01172 01 0000 140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0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должностными лицами органов исполнительной власти субъектов Российской Федерации, учреждениями субъектов </w:t>
            </w:r>
            <w:r>
              <w:lastRenderedPageBreak/>
              <w:t>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1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1 16 01183 01 0000 140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2" w:history="1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1 16 01192 01 0000 140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3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4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1 16 01202 01 0000 140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1 16 01203 01 0000 140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1 16 01212 01 0000 140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7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 в области воинского учета,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8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1 16 07030 02 0000 140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1 16 09030 02 0000 140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1 16 10021 02 0000 140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Прочее возмещение ущерба, причиненного </w:t>
            </w:r>
            <w:r>
              <w:lastRenderedPageBreak/>
              <w:t>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1 16 10056 02 0000 140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>
              <w:t xml:space="preserve"> счет средств дорожного фонда субъекта Российской Федерации)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1 16 10122 01 0000 140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</w:t>
            </w:r>
            <w:hyperlink w:anchor="P298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1 16 11020 01 0000 140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регионального значения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2 02 25567 02 0000 150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2 02 25576 02 0000 150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обеспечение комплексного развития сельских </w:t>
            </w:r>
            <w:r>
              <w:lastRenderedPageBreak/>
              <w:t>территорий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2 02 29999 02 0000 150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субсидии бюджетам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2 02 39999 02 0000 150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субвенции бюджетам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2 02 90011 02 0000 150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2 04 02010 02 0000 150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2 07 02030 02 0000 150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2 18 00000 02 0000 150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  <w:hyperlink w:anchor="P29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lastRenderedPageBreak/>
              <w:t>муниципальных образований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2 18 71030 02 0000 150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2 19 00000 02 0000 150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 </w:t>
            </w:r>
            <w:hyperlink w:anchor="P2987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ind w:firstLine="540"/>
        <w:jc w:val="both"/>
      </w:pPr>
      <w:r>
        <w:t>--------------------------------</w:t>
      </w:r>
    </w:p>
    <w:p w:rsidR="00D3163F" w:rsidRDefault="00D3163F">
      <w:pPr>
        <w:pStyle w:val="ConsPlusNormal"/>
        <w:spacing w:before="220"/>
        <w:ind w:firstLine="540"/>
        <w:jc w:val="both"/>
      </w:pPr>
      <w:bookmarkStart w:id="1" w:name="P2986"/>
      <w:bookmarkEnd w:id="1"/>
      <w:r>
        <w:t>&lt;*&gt; Администрирование поступлений по всем статьям и подстатьям вида дохода бюджета осуществляется органами исполнительной власти, предоставившими соответствующие межбюджетные трансферты.</w:t>
      </w:r>
    </w:p>
    <w:p w:rsidR="00D3163F" w:rsidRDefault="00D3163F">
      <w:pPr>
        <w:pStyle w:val="ConsPlusNormal"/>
        <w:spacing w:before="220"/>
        <w:ind w:firstLine="540"/>
        <w:jc w:val="both"/>
      </w:pPr>
      <w:bookmarkStart w:id="2" w:name="P2987"/>
      <w:bookmarkEnd w:id="2"/>
      <w:r>
        <w:t>&lt;**&gt; Администрирование поступлений по всем статьям и подстатьям вида дохода осуществляется главными администраторами доходов бюджета, администрирующими соответствующие межбюджетные трансферты.</w:t>
      </w:r>
    </w:p>
    <w:p w:rsidR="00D3163F" w:rsidRDefault="00D3163F">
      <w:pPr>
        <w:pStyle w:val="ConsPlusNormal"/>
        <w:spacing w:before="220"/>
        <w:ind w:firstLine="540"/>
        <w:jc w:val="both"/>
      </w:pPr>
      <w:bookmarkStart w:id="3" w:name="P2988"/>
      <w:bookmarkEnd w:id="3"/>
      <w:r>
        <w:t>&lt;***&gt; Администрирование доходов осуществляется главными администраторами доходов бюджета по установленным Министерством финансов Чувашской Республики кодам подвидов доходов.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4" w:name="_GoBack"/>
      <w:bookmarkEnd w:id="4"/>
    </w:p>
    <w:sectPr w:rsidR="00D3163F" w:rsidSect="0024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24543D"/>
    <w:rsid w:val="006056F2"/>
    <w:rsid w:val="007F51B6"/>
    <w:rsid w:val="00D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AEF0A557C51CEC63560D83424C3E322A1CD6A9800A8C452590166CE203146669F4CD92271A4FF8696A3B08F84E424F3D90FE64435E366FX0a6O" TargetMode="External"/><Relationship Id="rId18" Type="http://schemas.openxmlformats.org/officeDocument/2006/relationships/hyperlink" Target="consultantplus://offline/ref=DFAEF0A557C51CEC63560D83424C3E322A1AD7AB8E0D8C452590166CE203146669F4CD92271A4CFB6D6A3B08F84E424F3D90FE64435E366FX0a6O" TargetMode="External"/><Relationship Id="rId26" Type="http://schemas.openxmlformats.org/officeDocument/2006/relationships/hyperlink" Target="consultantplus://offline/ref=DFAEF0A557C51CEC63560D83424C3E322A1AD7AB8E0D8C452590166CE203146669F4CD92271A48F86B6A3B08F84E424F3D90FE64435E366FX0a6O" TargetMode="External"/><Relationship Id="rId39" Type="http://schemas.openxmlformats.org/officeDocument/2006/relationships/hyperlink" Target="consultantplus://offline/ref=DFAEF0A557C51CEC63560D83424C3E322A1AD7AB8E0D8C452590166CE203146669F4CD9B2E1948F23F302B0CB1194F533D8DE0655D5EX3a6O" TargetMode="External"/><Relationship Id="rId21" Type="http://schemas.openxmlformats.org/officeDocument/2006/relationships/hyperlink" Target="consultantplus://offline/ref=DFAEF0A557C51CEC63560D83424C3E322A1AD7AB8E0D8C452590166CE203146669F4CD92271E4CFD6B6A3B08F84E424F3D90FE64435E366FX0a6O" TargetMode="External"/><Relationship Id="rId34" Type="http://schemas.openxmlformats.org/officeDocument/2006/relationships/hyperlink" Target="consultantplus://offline/ref=DFAEF0A557C51CEC63560D83424C3E322A1AD7AB8E0D8C452590166CE203146669F4CD96251346F23F302B0CB1194F533D8DE0655D5EX3a6O" TargetMode="External"/><Relationship Id="rId42" Type="http://schemas.openxmlformats.org/officeDocument/2006/relationships/hyperlink" Target="consultantplus://offline/ref=DFAEF0A557C51CEC63560D83424C3E322A1AD7AB8E0D8C452590166CE203146669F4CD92271B4AFA6F6A3B08F84E424F3D90FE64435E366FX0a6O" TargetMode="External"/><Relationship Id="rId47" Type="http://schemas.openxmlformats.org/officeDocument/2006/relationships/hyperlink" Target="consultantplus://offline/ref=DFAEF0A557C51CEC63560D83424C3E322A1AD7AB8E0D8C452590166CE203146669F4CD92271B47F8626A3B08F84E424F3D90FE64435E366FX0a6O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FAEF0A557C51CEC63560D83424C3E322A1CD8A88E088C452590166CE20314667BF4959E251A51F9687F6D59BEX1a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AEF0A557C51CEC63560D83424C3E322A1AD7AB8E0D8C452590166CE203146669F4CD92271A4EFE6F6A3B08F84E424F3D90FE64435E366FX0a6O" TargetMode="External"/><Relationship Id="rId29" Type="http://schemas.openxmlformats.org/officeDocument/2006/relationships/hyperlink" Target="consultantplus://offline/ref=DFAEF0A557C51CEC63560D83424C3E322A1AD7AB8E0D8C452590166CE203146669F4CD92271A46F86E6A3B08F84E424F3D90FE64435E366FX0a6O" TargetMode="External"/><Relationship Id="rId11" Type="http://schemas.openxmlformats.org/officeDocument/2006/relationships/hyperlink" Target="consultantplus://offline/ref=DFAEF0A557C51CEC63560D83424C3E322A1AD1AD8A098C452590166CE203146669F4CD92271A4FF9626A3B08F84E424F3D90FE64435E366FX0a6O" TargetMode="External"/><Relationship Id="rId24" Type="http://schemas.openxmlformats.org/officeDocument/2006/relationships/hyperlink" Target="consultantplus://offline/ref=DFAEF0A557C51CEC63560D83424C3E322A1AD7AB8E0D8C452590166CE203146669F4CD92271A49FC6E6A3B08F84E424F3D90FE64435E366FX0a6O" TargetMode="External"/><Relationship Id="rId32" Type="http://schemas.openxmlformats.org/officeDocument/2006/relationships/hyperlink" Target="consultantplus://offline/ref=DFAEF0A557C51CEC63560D83424C3E322A1AD7AB8E0D8C452590166CE203146669F4CD92271B4FF0696A3B08F84E424F3D90FE64435E366FX0a6O" TargetMode="External"/><Relationship Id="rId37" Type="http://schemas.openxmlformats.org/officeDocument/2006/relationships/hyperlink" Target="consultantplus://offline/ref=DFAEF0A557C51CEC63560D83424C3E322A1AD7AB8E0D8C452590166CE203146669F4CD9B2E1948F23F302B0CB1194F533D8DE0655D5EX3a6O" TargetMode="External"/><Relationship Id="rId40" Type="http://schemas.openxmlformats.org/officeDocument/2006/relationships/hyperlink" Target="consultantplus://offline/ref=DFAEF0A557C51CEC63560D83424C3E322A1AD7AB8E0D8C452590166CE203146669F4CD92271B4BF16D6A3B08F84E424F3D90FE64435E366FX0a6O" TargetMode="External"/><Relationship Id="rId45" Type="http://schemas.openxmlformats.org/officeDocument/2006/relationships/hyperlink" Target="consultantplus://offline/ref=DFAEF0A557C51CEC63560D83424C3E322A1AD7AB8E0D8C452590166CE203146669F4CD92271B49F0686A3B08F84E424F3D90FE64435E366FX0a6O" TargetMode="External"/><Relationship Id="rId5" Type="http://schemas.openxmlformats.org/officeDocument/2006/relationships/hyperlink" Target="consultantplus://offline/ref=DFAEF0A557C51CEC6356138E5420603621158FA1890F84157FC0103BBD53123329B4CBC7645E42F86B616E5FB9101B1C79DBF3655D42366E185BC18AX9a1O" TargetMode="External"/><Relationship Id="rId15" Type="http://schemas.openxmlformats.org/officeDocument/2006/relationships/hyperlink" Target="consultantplus://offline/ref=DFAEF0A557C51CEC63560D83424C3E322A1AD7AB8E0D8C452590166CE203146669F4CD92271A4EFE6F6A3B08F84E424F3D90FE64435E366FX0a6O" TargetMode="External"/><Relationship Id="rId23" Type="http://schemas.openxmlformats.org/officeDocument/2006/relationships/hyperlink" Target="consultantplus://offline/ref=DFAEF0A557C51CEC63560D83424C3E322A1AD7AB8E0D8C452590166CE203146669F4CD92271A49FC6E6A3B08F84E424F3D90FE64435E366FX0a6O" TargetMode="External"/><Relationship Id="rId28" Type="http://schemas.openxmlformats.org/officeDocument/2006/relationships/hyperlink" Target="consultantplus://offline/ref=DFAEF0A557C51CEC63560D83424C3E322A1AD7AB8E0D8C452590166CE203146669F4CD92271A48FC626A3B08F84E424F3D90FE64435E366FX0a6O" TargetMode="External"/><Relationship Id="rId36" Type="http://schemas.openxmlformats.org/officeDocument/2006/relationships/hyperlink" Target="consultantplus://offline/ref=DFAEF0A557C51CEC63560D83424C3E322A1CD6A58D058C452590166CE203146669F4CD972F1B47F23F302B0CB1194F533D8DE0655D5EX3a6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FAEF0A557C51CEC63560D83424C3E322A1AD6A98C0C8C452590166CE203146669F4CD912C4E1EBD3E6C6D59A21B4C533F8EFCX6a7O" TargetMode="External"/><Relationship Id="rId19" Type="http://schemas.openxmlformats.org/officeDocument/2006/relationships/hyperlink" Target="consultantplus://offline/ref=DFAEF0A557C51CEC63560D83424C3E322A1AD7AB8E0D8C452590166CE203146669F4CD92271A4CFE6D6A3B08F84E424F3D90FE64435E366FX0a6O" TargetMode="External"/><Relationship Id="rId31" Type="http://schemas.openxmlformats.org/officeDocument/2006/relationships/hyperlink" Target="consultantplus://offline/ref=DFAEF0A557C51CEC63560D83424C3E322A1AD7AB8E0D8C452590166CE203146669F4CD92271B4FF0696A3B08F84E424F3D90FE64435E366FX0a6O" TargetMode="External"/><Relationship Id="rId44" Type="http://schemas.openxmlformats.org/officeDocument/2006/relationships/hyperlink" Target="consultantplus://offline/ref=DFAEF0A557C51CEC63560D83424C3E322A1AD7AB8E0D8C452590166CE203146669F4CD92271B4AF06E6A3B08F84E424F3D90FE64435E366FX0a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AEF0A557C51CEC63560D83424C3E322A1AD3A98F0E8C452590166CE203146669F4CD92271A4FFB6E6A3B08F84E424F3D90FE64435E366FX0a6O" TargetMode="External"/><Relationship Id="rId14" Type="http://schemas.openxmlformats.org/officeDocument/2006/relationships/hyperlink" Target="consultantplus://offline/ref=DFAEF0A557C51CEC63560D83424C3E322A1AD3A98F0E8C452590166CE203146669F4CD92271A4FFB6E6A3B08F84E424F3D90FE64435E366FX0a6O" TargetMode="External"/><Relationship Id="rId22" Type="http://schemas.openxmlformats.org/officeDocument/2006/relationships/hyperlink" Target="consultantplus://offline/ref=DFAEF0A557C51CEC63560D83424C3E322A1AD7AB8E0D8C452590166CE203146669F4CD92271E4CFD6B6A3B08F84E424F3D90FE64435E366FX0a6O" TargetMode="External"/><Relationship Id="rId27" Type="http://schemas.openxmlformats.org/officeDocument/2006/relationships/hyperlink" Target="consultantplus://offline/ref=DFAEF0A557C51CEC63560D83424C3E322A1AD7AB8E0D8C452590166CE203146669F4CD92271A48FC626A3B08F84E424F3D90FE64435E366FX0a6O" TargetMode="External"/><Relationship Id="rId30" Type="http://schemas.openxmlformats.org/officeDocument/2006/relationships/hyperlink" Target="consultantplus://offline/ref=DFAEF0A557C51CEC63560D83424C3E322A1AD7AB8E0D8C452590166CE203146669F4CD92271A46F86E6A3B08F84E424F3D90FE64435E366FX0a6O" TargetMode="External"/><Relationship Id="rId35" Type="http://schemas.openxmlformats.org/officeDocument/2006/relationships/hyperlink" Target="consultantplus://offline/ref=DFAEF0A557C51CEC63560D83424C3E322A1AD7AB8E0D8C452590166CE203146669F4CD9B2E1948F23F302B0CB1194F533D8DE0655D5EX3a6O" TargetMode="External"/><Relationship Id="rId43" Type="http://schemas.openxmlformats.org/officeDocument/2006/relationships/hyperlink" Target="consultantplus://offline/ref=DFAEF0A557C51CEC63560D83424C3E322A1AD7AB8E0D8C452590166CE203146669F4CD92271B4AF06E6A3B08F84E424F3D90FE64435E366FX0a6O" TargetMode="External"/><Relationship Id="rId48" Type="http://schemas.openxmlformats.org/officeDocument/2006/relationships/hyperlink" Target="consultantplus://offline/ref=DFAEF0A557C51CEC63560D83424C3E322A1AD7AB8E0D8C452590166CE203146669F4CD92271B47F8626A3B08F84E424F3D90FE64435E366FX0a6O" TargetMode="External"/><Relationship Id="rId8" Type="http://schemas.openxmlformats.org/officeDocument/2006/relationships/hyperlink" Target="consultantplus://offline/ref=DFAEF0A557C51CEC63560D83424C3E322A1AD7AC8B088C452590166CE203146669F4CD92271A4FF9626A3B08F84E424F3D90FE64435E366FX0a6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FAEF0A557C51CEC63560D83424C3E322A1AD3A98F0E8C452590166CE203146669F4CD92271A4FFB6E6A3B08F84E424F3D90FE64435E366FX0a6O" TargetMode="External"/><Relationship Id="rId17" Type="http://schemas.openxmlformats.org/officeDocument/2006/relationships/hyperlink" Target="consultantplus://offline/ref=DFAEF0A557C51CEC63560D83424C3E322A1AD7AB8E0D8C452590166CE203146669F4CD92271A4CFB6D6A3B08F84E424F3D90FE64435E366FX0a6O" TargetMode="External"/><Relationship Id="rId25" Type="http://schemas.openxmlformats.org/officeDocument/2006/relationships/hyperlink" Target="consultantplus://offline/ref=DFAEF0A557C51CEC63560D83424C3E322A1AD7AB8E0D8C452590166CE203146669F4CD92271A48F86B6A3B08F84E424F3D90FE64435E366FX0a6O" TargetMode="External"/><Relationship Id="rId33" Type="http://schemas.openxmlformats.org/officeDocument/2006/relationships/hyperlink" Target="consultantplus://offline/ref=DFAEF0A557C51CEC63560D83424C3E322A1AD7AB8E0D8C452590166CE203146669F4CD96251346F23F302B0CB1194F533D8DE0655D5EX3a6O" TargetMode="External"/><Relationship Id="rId38" Type="http://schemas.openxmlformats.org/officeDocument/2006/relationships/hyperlink" Target="consultantplus://offline/ref=DFAEF0A557C51CEC63560D83424C3E322A1CD6A58D058C452590166CE203146669F4CD972F1B47F23F302B0CB1194F533D8DE0655D5EX3a6O" TargetMode="External"/><Relationship Id="rId46" Type="http://schemas.openxmlformats.org/officeDocument/2006/relationships/hyperlink" Target="consultantplus://offline/ref=DFAEF0A557C51CEC63560D83424C3E322A1AD7AB8E0D8C452590166CE203146669F4CD92271B49F0686A3B08F84E424F3D90FE64435E366FX0a6O" TargetMode="External"/><Relationship Id="rId20" Type="http://schemas.openxmlformats.org/officeDocument/2006/relationships/hyperlink" Target="consultantplus://offline/ref=DFAEF0A557C51CEC63560D83424C3E322A1AD7AB8E0D8C452590166CE203146669F4CD92271A4CFE6D6A3B08F84E424F3D90FE64435E366FX0a6O" TargetMode="External"/><Relationship Id="rId41" Type="http://schemas.openxmlformats.org/officeDocument/2006/relationships/hyperlink" Target="consultantplus://offline/ref=DFAEF0A557C51CEC63560D83424C3E322A1AD7AB8E0D8C452590166CE203146669F4CD92271B4BF16D6A3B08F84E424F3D90FE64435E366FX0a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AEF0A557C51CEC63560D83424C3E322A1AD4A481098C452590166CE20314667BF4959E251A51F9687F6D59BEX1a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10052</Words>
  <Characters>57303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2020-03-20T14:34:00Z</dcterms:created>
  <dcterms:modified xsi:type="dcterms:W3CDTF">2020-03-20T14:34:00Z</dcterms:modified>
</cp:coreProperties>
</file>