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15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95180"/>
      <w:bookmarkEnd w:id="0"/>
      <w:r>
        <w:t>РАСПРЕДЕЛЕНИЕ</w:t>
      </w:r>
    </w:p>
    <w:p w:rsidR="004E42D7" w:rsidRDefault="004E42D7">
      <w:pPr>
        <w:pStyle w:val="ConsPlusTitle"/>
        <w:jc w:val="center"/>
      </w:pPr>
      <w:r>
        <w:t>БЮДЖЕТНЫХ АССИГНОВАНИЙ ПО РЕГИОНАЛЬНЫМ ПРОЕКТАМ,</w:t>
      </w:r>
    </w:p>
    <w:p w:rsidR="004E42D7" w:rsidRDefault="004E42D7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4E42D7" w:rsidRDefault="004E42D7">
      <w:pPr>
        <w:pStyle w:val="ConsPlusTitle"/>
        <w:jc w:val="center"/>
      </w:pPr>
      <w:r>
        <w:t>И ФЕДЕРАЛЬНЫХ ПРОЕКТОВ, ВХОДЯЩИХ В СОСТАВ</w:t>
      </w:r>
    </w:p>
    <w:p w:rsidR="004E42D7" w:rsidRDefault="004E42D7">
      <w:pPr>
        <w:pStyle w:val="ConsPlusTitle"/>
        <w:jc w:val="center"/>
      </w:pPr>
      <w:r>
        <w:t>НАЦИОНАЛЬНЫХ ПРОЕКТОВ (ПРОГРАММ),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649"/>
        <w:gridCol w:w="1474"/>
        <w:gridCol w:w="1144"/>
        <w:gridCol w:w="1144"/>
      </w:tblGrid>
      <w:tr w:rsidR="004E42D7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</w:t>
            </w:r>
          </w:p>
        </w:tc>
      </w:tr>
      <w:tr w:rsidR="004E42D7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7128282,1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6483546,3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115979,0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41904,6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114087,8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Ц41A154540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</w:t>
            </w:r>
            <w:r>
              <w:lastRenderedPageBreak/>
              <w:t>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Ц41A15519E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11871,5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825649,8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803395,8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118184,4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Пристрой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Ц74E15520В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Ц74E1A520A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г. N 273-ФЗ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16502,2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768378,2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773156,1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</w:t>
            </w:r>
            <w:r>
              <w:lastRenderedPageBreak/>
              <w:t>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A13G552437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A13G55243В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107206,2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107727,5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178289,2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6083,3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40078,9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8461,1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41179,9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11561,4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18254,8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66849,8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1231189,0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440547,7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417856,4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178528,0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402756,4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163428,0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106354,4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106354,4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регионального проекта "Медицинские кадры Чувашской </w:t>
            </w:r>
            <w:r>
              <w:lastRenderedPageBreak/>
              <w:t>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1803203,8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2257130,4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959933,0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972033,1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318978,0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319690,8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621063,0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1025319,7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lastRenderedPageBreak/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Ц71P252324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182907,7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</w:t>
            </w:r>
            <w:r>
              <w:lastRenderedPageBreak/>
              <w:t>организации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Ц21P352950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Ц33P351211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216805,4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Ц51P551392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Ц51P551393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2236145,8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2603940,9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2067055,6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2434850,7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</w:t>
            </w:r>
            <w:r>
              <w:lastRenderedPageBreak/>
              <w:t>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Ч21R153932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165270,2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"Экспорт продукции АПК"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международного стандарта качества для сельскохозяйственных товаропроизводителей (за исключением </w:t>
            </w:r>
            <w:r>
              <w:lastRenderedPageBreak/>
              <w:t>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Ц9МT267500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46,7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C4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201AF5"/>
    <w:rsid w:val="003E471F"/>
    <w:rsid w:val="004E42D7"/>
    <w:rsid w:val="008113AF"/>
    <w:rsid w:val="00A00641"/>
    <w:rsid w:val="00A65638"/>
    <w:rsid w:val="00A8108F"/>
    <w:rsid w:val="00C415EF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081C226FDA4D6D4120A3E3CC639038FEBBD3B501F17BEB34E4DD3D61F17459520F708FD60D66E9361A9F6EC5C4943By4H" TargetMode="External"/><Relationship Id="rId5" Type="http://schemas.openxmlformats.org/officeDocument/2006/relationships/hyperlink" Target="consultantplus://offline/ref=DD892A017D285379F0E116113403844966497EAFE5CA68C466AFBD84EA51F72EAB74E2887E25FA7C59515D22C8885437AB7D169D76D9C597A3CF16CC39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2019-12-06T14:21:00Z</dcterms:created>
  <dcterms:modified xsi:type="dcterms:W3CDTF">2019-12-06T14:21:00Z</dcterms:modified>
</cp:coreProperties>
</file>