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27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82604"/>
      <w:bookmarkEnd w:id="0"/>
      <w:r>
        <w:t>ПРОГРАММА</w:t>
      </w:r>
    </w:p>
    <w:p w:rsidR="00045C5B" w:rsidRDefault="00045C5B">
      <w:pPr>
        <w:pStyle w:val="ConsPlusTitle"/>
        <w:jc w:val="center"/>
      </w:pPr>
      <w:r>
        <w:t>ГОСУДАРСТВЕННЫХ ГАРАНТИЙ ЧУВАШСКОЙ РЕСПУБЛИКИ</w:t>
      </w:r>
    </w:p>
    <w:p w:rsidR="00045C5B" w:rsidRDefault="00045C5B">
      <w:pPr>
        <w:pStyle w:val="ConsPlusTitle"/>
        <w:jc w:val="center"/>
      </w:pPr>
      <w:r>
        <w:t>В ВАЛЮТЕ РОССИЙСКОЙ ФЕДЕРАЦИИ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ind w:firstLine="540"/>
        <w:jc w:val="both"/>
        <w:outlineLvl w:val="1"/>
      </w:pPr>
      <w:r>
        <w:t>Перечень подлежащих исполнению в 2019 году государственных гарантий Чувашской Республики</w:t>
      </w:r>
    </w:p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02"/>
        <w:gridCol w:w="3685"/>
        <w:gridCol w:w="1384"/>
        <w:gridCol w:w="1339"/>
      </w:tblGrid>
      <w:tr w:rsidR="00045C5B">
        <w:tc>
          <w:tcPr>
            <w:tcW w:w="454" w:type="dxa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02" w:type="dxa"/>
          </w:tcPr>
          <w:p w:rsidR="00045C5B" w:rsidRDefault="00045C5B">
            <w:pPr>
              <w:pStyle w:val="ConsPlusNormal"/>
              <w:jc w:val="center"/>
            </w:pPr>
            <w:r>
              <w:t>Наименование принципала</w:t>
            </w:r>
          </w:p>
        </w:tc>
        <w:tc>
          <w:tcPr>
            <w:tcW w:w="3685" w:type="dxa"/>
          </w:tcPr>
          <w:p w:rsidR="00045C5B" w:rsidRDefault="00045C5B">
            <w:pPr>
              <w:pStyle w:val="ConsPlusNormal"/>
              <w:jc w:val="center"/>
            </w:pPr>
            <w:r>
              <w:t>Цель гарантирования</w:t>
            </w:r>
          </w:p>
        </w:tc>
        <w:tc>
          <w:tcPr>
            <w:tcW w:w="1384" w:type="dxa"/>
          </w:tcPr>
          <w:p w:rsidR="00045C5B" w:rsidRDefault="00045C5B">
            <w:pPr>
              <w:pStyle w:val="ConsPlusNormal"/>
              <w:jc w:val="center"/>
            </w:pPr>
            <w:r>
              <w:t>Сумма государственной гарантии Чувашской Республики, тыс. рублей</w:t>
            </w:r>
          </w:p>
        </w:tc>
        <w:tc>
          <w:tcPr>
            <w:tcW w:w="1339" w:type="dxa"/>
          </w:tcPr>
          <w:p w:rsidR="00045C5B" w:rsidRDefault="00045C5B">
            <w:pPr>
              <w:pStyle w:val="ConsPlusNormal"/>
              <w:jc w:val="center"/>
            </w:pPr>
            <w:r>
              <w:t>Наличие права регрессного требования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ГУП Чувашской Республики "</w:t>
            </w:r>
            <w:proofErr w:type="spellStart"/>
            <w:r>
              <w:t>Чувашгаз</w:t>
            </w:r>
            <w:proofErr w:type="spellEnd"/>
            <w:r>
              <w:t>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для обеспечения исполнения обязательств по контракту от 1 декабря 2017 г. N 22-023, заключенному между Публичным акционерным обществом "Сбербанк России" и ГУП Чувашской Республики "</w:t>
            </w:r>
            <w:proofErr w:type="spellStart"/>
            <w:r>
              <w:t>Чувашгаз</w:t>
            </w:r>
            <w:proofErr w:type="spellEnd"/>
            <w:r>
              <w:t xml:space="preserve">" Министерства строительства, архитектуры и жилищно-коммунального хозяйства Чувашской Республики в рамках реализации </w:t>
            </w:r>
            <w:hyperlink r:id="rId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хозяйства", утвержденной постановлением Кабинета Министров Чувашской</w:t>
            </w:r>
            <w:proofErr w:type="gramEnd"/>
            <w:r>
              <w:t xml:space="preserve"> Республики от 30 ноября 2011 г. N 530</w:t>
            </w:r>
          </w:p>
        </w:tc>
        <w:tc>
          <w:tcPr>
            <w:tcW w:w="1384" w:type="dxa"/>
            <w:tcBorders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339" w:type="dxa"/>
            <w:tcBorders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нет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Общий объем исполнения государственных гарантий Чувашской Республики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-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ind w:firstLine="540"/>
        <w:jc w:val="both"/>
        <w:outlineLvl w:val="1"/>
      </w:pPr>
      <w:r>
        <w:t>Общий объем бюджетных ассигнований, предусмотренных на исполнение государственных гарантий Чувашской Республики по возможным гарантийным случаям в 2019 году</w:t>
      </w:r>
    </w:p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4365"/>
      </w:tblGrid>
      <w:tr w:rsidR="00045C5B">
        <w:tc>
          <w:tcPr>
            <w:tcW w:w="4649" w:type="dxa"/>
          </w:tcPr>
          <w:p w:rsidR="00045C5B" w:rsidRDefault="00045C5B">
            <w:pPr>
              <w:pStyle w:val="ConsPlusNormal"/>
              <w:jc w:val="center"/>
            </w:pPr>
            <w:r>
              <w:t>Исполнение государственных гарантий Чувашской Республики</w:t>
            </w:r>
          </w:p>
        </w:tc>
        <w:tc>
          <w:tcPr>
            <w:tcW w:w="4365" w:type="dxa"/>
          </w:tcPr>
          <w:p w:rsidR="00045C5B" w:rsidRDefault="00045C5B">
            <w:pPr>
              <w:pStyle w:val="ConsPlusNormal"/>
              <w:jc w:val="center"/>
            </w:pPr>
            <w:r>
              <w:t xml:space="preserve">Объем бюджетных ассигнований на исполнение государственных гарантий Чувашской Республики по возможным </w:t>
            </w:r>
            <w:r>
              <w:lastRenderedPageBreak/>
              <w:t>гарантийным случаям, тыс. рублей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 счет расходов республиканского бюджета Чувашской Республики</w:t>
            </w:r>
          </w:p>
        </w:tc>
        <w:tc>
          <w:tcPr>
            <w:tcW w:w="4365" w:type="dxa"/>
            <w:tcBorders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23100,0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3623D4"/>
    <w:rsid w:val="00687C79"/>
    <w:rsid w:val="007A7DCA"/>
    <w:rsid w:val="00891A1B"/>
    <w:rsid w:val="008C616A"/>
    <w:rsid w:val="00A22A90"/>
    <w:rsid w:val="00A47B3E"/>
    <w:rsid w:val="00A64B42"/>
    <w:rsid w:val="00B61A60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08FA8788B0344F0D9E3928EF655ED358D8CACA6EF0D5D46767BE578841856C5F2AA7093A1A820A52773B007ADB7AE0791390DE03EE16D72BBB6686y4y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2019-09-16T06:33:00Z</dcterms:created>
  <dcterms:modified xsi:type="dcterms:W3CDTF">2019-09-16T06:33:00Z</dcterms:modified>
</cp:coreProperties>
</file>