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6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3147"/>
      <w:bookmarkEnd w:id="0"/>
      <w:r>
        <w:t>ПРОГНОЗИРУЕМЫЕ ОБЪЕМЫ</w:t>
      </w:r>
    </w:p>
    <w:p w:rsidR="00C42116" w:rsidRDefault="00C42116">
      <w:pPr>
        <w:pStyle w:val="ConsPlusTitle"/>
        <w:jc w:val="center"/>
      </w:pPr>
      <w:r>
        <w:t>ПОСТУПЛЕНИЙ ДОХОДОВ В РЕСПУБЛИКАНСКИЙ БЮДЖЕТ</w:t>
      </w:r>
    </w:p>
    <w:p w:rsidR="00C42116" w:rsidRDefault="00C42116">
      <w:pPr>
        <w:pStyle w:val="ConsPlusTitle"/>
        <w:jc w:val="center"/>
      </w:pPr>
      <w:r>
        <w:t>ЧУВАШСКОЙ РЕСПУБЛИКИ НА 2019 ГОД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644"/>
      </w:tblGrid>
      <w:tr w:rsidR="00C42116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Сумма</w:t>
            </w:r>
          </w:p>
        </w:tc>
      </w:tr>
      <w:tr w:rsidR="00C42116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29766344,7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18613109,8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8849604,1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9763505,7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4261048,1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4261048,1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2489268,5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2489268,5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3314599,9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2449348,3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857253,6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138558,2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168338,8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49438,6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72131,6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137197,3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533622,0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25732251,9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Безвозмездные поступления от других бюджетов </w:t>
            </w:r>
            <w:r>
              <w:lastRenderedPageBreak/>
              <w:t>бюджетной системы Российской Федерации,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lastRenderedPageBreak/>
              <w:t>24172354,0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12077795,2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11114859,2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20215009020000150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962936,0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6234071,3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2630640,0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3128673,6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20290000000000150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безвозмездные поступления от других бюджетов бюджетной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101173,9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41850,4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156203,8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20700000000000000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1375479,0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-13645,3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  <w:bookmarkStart w:id="1" w:name="_GoBack"/>
      <w:bookmarkEnd w:id="1"/>
    </w:p>
    <w:sectPr w:rsidR="00C42116" w:rsidSect="003E3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3E3FD4"/>
    <w:rsid w:val="006712D3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97621A78CDABEDE341846582F97880ED3CAFADD2A68B7EF8D0130A6B4AFDD8643D1C097837F22FB3EB00B9211E0A7C7B85D22ACA6ACDA441CE674C1b9E5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2019-05-16T09:23:00Z</dcterms:created>
  <dcterms:modified xsi:type="dcterms:W3CDTF">2019-05-16T09:23:00Z</dcterms:modified>
</cp:coreProperties>
</file>