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15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38450"/>
      <w:bookmarkEnd w:id="0"/>
      <w:r>
        <w:t>РАСПРЕДЕЛЕНИЕ</w:t>
      </w:r>
    </w:p>
    <w:p w:rsidR="00C42116" w:rsidRDefault="00C42116">
      <w:pPr>
        <w:pStyle w:val="ConsPlusTitle"/>
        <w:jc w:val="center"/>
      </w:pPr>
      <w:r>
        <w:t>БЮДЖЕТНЫХ АССИГНОВАНИЙ ПО РЕГИОНАЛЬНЫМ ПРОЕКТАМ,</w:t>
      </w:r>
    </w:p>
    <w:p w:rsidR="00C42116" w:rsidRDefault="00C42116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C42116" w:rsidRDefault="00C42116">
      <w:pPr>
        <w:pStyle w:val="ConsPlusTitle"/>
        <w:jc w:val="center"/>
      </w:pPr>
      <w:r>
        <w:t>И ФЕДЕРАЛЬНЫХ ПРОЕКТОВ, ВХОДЯЩИХ В СОСТАВ</w:t>
      </w:r>
    </w:p>
    <w:p w:rsidR="00C42116" w:rsidRDefault="00C42116">
      <w:pPr>
        <w:pStyle w:val="ConsPlusTitle"/>
        <w:jc w:val="center"/>
      </w:pPr>
      <w:r>
        <w:t>НАЦИОНАЛЬНЫХ ПРОЕКТОВ (ПРОГРАММ),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649"/>
        <w:gridCol w:w="1489"/>
        <w:gridCol w:w="1144"/>
        <w:gridCol w:w="1144"/>
      </w:tblGrid>
      <w:tr w:rsidR="00C42116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7065676,0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6482629,8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11871,5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4790,2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мероприятий регионального проекта "</w:t>
            </w:r>
            <w:proofErr w:type="gramStart"/>
            <w:r>
              <w:t>Цифровое</w:t>
            </w:r>
            <w:proofErr w:type="gramEnd"/>
            <w:r>
              <w:t xml:space="preserve"> государственное управление"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регионального </w:t>
            </w:r>
            <w:r>
              <w:lastRenderedPageBreak/>
              <w:t>проекта "Формирование комфортной городской среды"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768378,2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773156,1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"Чистая страна"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Ликвидация несанкционированных свалок в </w:t>
            </w:r>
            <w:proofErr w:type="gramStart"/>
            <w:r>
              <w:t>границах</w:t>
            </w:r>
            <w:proofErr w:type="gramEnd"/>
            <w:r>
              <w:t xml:space="preserve">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</w:t>
            </w:r>
            <w:r>
              <w:lastRenderedPageBreak/>
              <w:t>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А13G552434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</w:t>
            </w:r>
            <w:r>
              <w:lastRenderedPageBreak/>
              <w:t>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А13G55243В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"Сохранение лесов"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107206,2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120718,2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208489,5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19262,7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субъектам малого и среднего </w:t>
            </w:r>
            <w:r>
              <w:lastRenderedPageBreak/>
              <w:t xml:space="preserve">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Ч12I414730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87642,6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31549,6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1253807,4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440547,7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онкологическими </w:t>
            </w:r>
            <w:r>
              <w:lastRenderedPageBreak/>
              <w:t>заболеваниями"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417856,4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178528,0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402756,4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163428,0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"Детское здравоохранение"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2236145,8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2603940,9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2067055,6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2434850,7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</w:t>
            </w:r>
            <w:r>
              <w:lastRenderedPageBreak/>
              <w:t>дороги"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Ч21R153931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165270,2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12521,7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 xml:space="preserve">, расположенных в населенных пунктах с численностью населения </w:t>
            </w:r>
            <w:r>
              <w:lastRenderedPageBreak/>
              <w:t>до 500 тысяч человек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Ц41А119710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Поддержка некоммерческих организаций в </w:t>
            </w:r>
            <w:proofErr w:type="gramStart"/>
            <w:r>
              <w:t>получении</w:t>
            </w:r>
            <w:proofErr w:type="gramEnd"/>
            <w:r>
              <w:t xml:space="preserve">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822845,3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137633,9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800591,3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Пристрой на 120 ме</w:t>
            </w:r>
            <w:proofErr w:type="gramStart"/>
            <w:r>
              <w:t>ст к зд</w:t>
            </w:r>
            <w:proofErr w:type="gramEnd"/>
            <w:r>
              <w:t>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 (в рамках создания новых мест в общеобразовательных организациях, расположенных в сельской местности и </w:t>
            </w:r>
            <w:r>
              <w:lastRenderedPageBreak/>
              <w:t>поселках городского типа)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Ц74Е152301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Ц71Е511800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16502,2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16502,2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16502,2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1803197,7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2257120,0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959926,9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972022,7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Ц34Р110780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Ц34Р155730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318978,0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319690,8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621063,0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1025319,7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</w:t>
            </w:r>
            <w:r>
              <w:lastRenderedPageBreak/>
              <w:t>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Ц71Р252326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Ц71Р25232Б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182907,7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216805,4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"Экспорт продукции АПК"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21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2161DF"/>
    <w:rsid w:val="006712D3"/>
    <w:rsid w:val="0080736B"/>
    <w:rsid w:val="00826DE3"/>
    <w:rsid w:val="00A6048C"/>
    <w:rsid w:val="00B86CB4"/>
    <w:rsid w:val="00BA7AB5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75CB2FBEBEFC2AD24C39AE45D4AEA9007BEC897FD48E4936FD5E1C6AC4A00B93180012BDC9823B69026626FEDA5CCD42708CB1816E403o0E2J" TargetMode="External"/><Relationship Id="rId5" Type="http://schemas.openxmlformats.org/officeDocument/2006/relationships/hyperlink" Target="consultantplus://offline/ref=6F575CB2FBEBEFC2AD24DD97F23114EE9B0EE4C594FD40B5C63ED3B699FC4C55F97186546898932BB8987A3423B3FC9C966C05CF000AE407158EC422o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2019-05-16T11:55:00Z</dcterms:created>
  <dcterms:modified xsi:type="dcterms:W3CDTF">2019-05-16T11:55:00Z</dcterms:modified>
</cp:coreProperties>
</file>