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5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3042"/>
      <w:bookmarkEnd w:id="0"/>
      <w:r>
        <w:t>ПЕРЕЧЕНЬ</w:t>
      </w:r>
    </w:p>
    <w:p w:rsidR="00825385" w:rsidRDefault="00825385">
      <w:pPr>
        <w:pStyle w:val="ConsPlusTitle"/>
        <w:jc w:val="center"/>
      </w:pPr>
      <w:r>
        <w:t>ГЛАВНЫХ АДМИНИСТРАТОРОВ ДОХОДОВ МЕСТНЫХ БЮДЖЕТОВ</w:t>
      </w:r>
    </w:p>
    <w:p w:rsidR="00825385" w:rsidRDefault="0082538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5613"/>
      </w:tblGrid>
      <w:tr w:rsidR="00825385"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главного администратора доходов местных бюджетов</w:t>
            </w:r>
          </w:p>
        </w:tc>
      </w:tr>
      <w:tr w:rsidR="00825385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доходов местных бюджетов</w:t>
            </w:r>
          </w:p>
        </w:tc>
        <w:tc>
          <w:tcPr>
            <w:tcW w:w="5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</w:tr>
      <w:tr w:rsidR="00825385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Центральная избирательная комиссия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</w:t>
            </w:r>
            <w:r>
              <w:lastRenderedPageBreak/>
              <w:t>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Министерство транспорта и дорожного хозяйства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Государственная жилищная инспекция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1 16 08010 01 0000 140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Министерство природных ресурсов и экологии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1 16 25010 01 0000 140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1 16 25020 01 0000 140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1 16 25030 01 0000 140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1 16 25040 01 0000 140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Денежные взыскания (штрафы) за нарушение законодательства об экологической экспертизе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1 16 25050 01 0000 140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1 16 25084 04 0000 140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1 16 25085 05 0000 140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1 16 25085 10 0000 140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Министерство здравоохранения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Министерство образования и молодежной политики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Государственная ветеринарная служба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</w:t>
            </w:r>
            <w:r>
              <w:lastRenderedPageBreak/>
              <w:t>иных сумм в возмещение ущерба, зачисляемые в бюджеты муниципальных районов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1 16 90040 04 0000 140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1 16 90050 05 0000 140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Иные доходы местных бюджетов, администрирование которых может осуществляться главными администраторами доходов местных бюджетов в пределах их компетенции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1 11 05326 04 0000 120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1 11 05326 10 0000 120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1 11 05326 13 0000 120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286D7D"/>
    <w:rsid w:val="004A2E90"/>
    <w:rsid w:val="00825385"/>
    <w:rsid w:val="00CE5921"/>
    <w:rsid w:val="00E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2018-12-26T14:21:00Z</dcterms:created>
  <dcterms:modified xsi:type="dcterms:W3CDTF">2018-12-26T14:21:00Z</dcterms:modified>
</cp:coreProperties>
</file>