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6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3186"/>
      <w:bookmarkEnd w:id="0"/>
      <w:r>
        <w:t>ПРОГНОЗИРУЕМЫЕ ОБЪЕМЫ</w:t>
      </w:r>
    </w:p>
    <w:p w:rsidR="00825385" w:rsidRDefault="00825385">
      <w:pPr>
        <w:pStyle w:val="ConsPlusTitle"/>
        <w:jc w:val="center"/>
      </w:pPr>
      <w:r>
        <w:t>ПОСТУПЛЕНИЙ ДОХОДОВ В РЕСПУБЛИКАНСКИЙ БЮДЖЕТ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18.12.2018 N 93)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87"/>
      </w:tblGrid>
      <w:tr w:rsidR="00825385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29089630,7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18086650,1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8829706,2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9256943,9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3862009,9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3862009,9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2310727,7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2310727,7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3696494,1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2868039,9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820848,0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209235,9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11202000000000120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недрами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20637516,5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20093239,2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11113640,0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9917143,0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301435,4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20215009020000151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20215213020000151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20215549020000151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4293464,1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1917473,5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2768661,6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</w:t>
            </w:r>
            <w:r>
              <w:lastRenderedPageBreak/>
              <w:t>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lastRenderedPageBreak/>
              <w:t>222226,2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A30397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195F6377F02CD7250296F4B87947032D9AFABD4D261DC94C5EBE9D1F4DDECCBAFE49929D70B6D2BA96E43D977E54A5FCD2A73472E10F96CB6A167Cn6G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2018-12-26T14:25:00Z</dcterms:created>
  <dcterms:modified xsi:type="dcterms:W3CDTF">2018-12-26T14:25:00Z</dcterms:modified>
</cp:coreProperties>
</file>