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5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2977"/>
      <w:bookmarkEnd w:id="0"/>
      <w:r>
        <w:t>ПЕРЕЧЕНЬ</w:t>
      </w:r>
      <w:bookmarkStart w:id="1" w:name="_GoBack"/>
      <w:bookmarkEnd w:id="1"/>
    </w:p>
    <w:p w:rsidR="006E6ADE" w:rsidRDefault="006E6ADE">
      <w:pPr>
        <w:pStyle w:val="ConsPlusTitle"/>
        <w:jc w:val="center"/>
      </w:pPr>
      <w:r>
        <w:t>ГЛАВНЫХ АДМИНИСТРАТОРОВ ДОХОДОВ МЕСТНЫХ БЮДЖЕТОВ</w:t>
      </w:r>
    </w:p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6E6ADE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6E6AD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</w:tr>
      <w:tr w:rsidR="006E6AD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</w:t>
            </w:r>
            <w: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</w:t>
            </w:r>
            <w:r>
              <w:lastRenderedPageBreak/>
              <w:t>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143602"/>
    <w:rsid w:val="006E6ADE"/>
    <w:rsid w:val="007541A2"/>
    <w:rsid w:val="00810D68"/>
    <w:rsid w:val="00D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2018-06-27T11:41:00Z</dcterms:created>
  <dcterms:modified xsi:type="dcterms:W3CDTF">2018-06-27T11:41:00Z</dcterms:modified>
</cp:coreProperties>
</file>