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6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bookmarkStart w:id="0" w:name="_GoBack"/>
      <w:bookmarkEnd w:id="0"/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1" w:name="P3055"/>
      <w:bookmarkEnd w:id="1"/>
      <w:r>
        <w:t>ПРОГНОЗИРУЕМЫЕ ОБЪЕМЫ</w:t>
      </w:r>
    </w:p>
    <w:p w:rsidR="002A4842" w:rsidRDefault="002A4842">
      <w:pPr>
        <w:pStyle w:val="ConsPlusTitle"/>
        <w:jc w:val="center"/>
      </w:pPr>
      <w:r>
        <w:t>ПОСТУПЛЕНИЙ ДОХОДОВ В РЕСПУБЛИКАНСКИЙ БЮДЖЕТ</w:t>
      </w:r>
    </w:p>
    <w:p w:rsidR="002A4842" w:rsidRDefault="002A4842">
      <w:pPr>
        <w:pStyle w:val="ConsPlusTitle"/>
        <w:jc w:val="center"/>
      </w:pPr>
      <w:r>
        <w:t>ЧУВАШСКОЙ РЕСПУБЛИКИ НА 2018 ГОД</w:t>
      </w:r>
    </w:p>
    <w:p w:rsidR="002A4842" w:rsidRDefault="002A484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48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5556"/>
        <w:gridCol w:w="1264"/>
      </w:tblGrid>
      <w:tr w:rsidR="002A4842"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556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Сумма</w:t>
            </w:r>
          </w:p>
        </w:tc>
      </w:tr>
      <w:tr w:rsidR="002A4842"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6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27517457,4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16808116,4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7852786,8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8955329,6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4020214,9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4020214,9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2070334,6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2070334,6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3610215,9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2784377,8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820848,0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4990,1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124413,5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ЗАДОЛЖЕННОСТЬ И ПЕРЕРАСЧЕТЫ ПО ОТМЕНЕННЫМ НАЛОГАМ, СБОРАМ И ИНЫМ ОБЯЗАТЕЛЬНЫМ </w:t>
            </w:r>
            <w:r>
              <w:lastRenderedPageBreak/>
              <w:t>ПЛАТЕЖАМ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lastRenderedPageBreak/>
              <w:t>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11100000000000000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177135,9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>
              <w:t>государственного</w:t>
            </w:r>
            <w:proofErr w:type="gramEnd"/>
            <w:r>
              <w:t xml:space="preserve">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48004,3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37235,3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10769,0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40138,5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132777,3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485320,2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18751194,7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20200000000000000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18386814,7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10592463,0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9917143,0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20215009020000151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675320,0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4275193,2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2243472,2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1275686,3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-16,6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sectPr w:rsidR="002A4842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1B5C98"/>
    <w:rsid w:val="001F332F"/>
    <w:rsid w:val="002A4842"/>
    <w:rsid w:val="002E726D"/>
    <w:rsid w:val="00306D45"/>
    <w:rsid w:val="003153FA"/>
    <w:rsid w:val="00A37D6F"/>
    <w:rsid w:val="00BE047A"/>
    <w:rsid w:val="00C22FBB"/>
    <w:rsid w:val="00D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269C080CD1305C373BFD55CDD9C5BF443DEF6F566A3BA578C7086FBC84ECA6E2F7DA0E7369341FE212501F9T1a3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2018-02-20T08:54:00Z</dcterms:created>
  <dcterms:modified xsi:type="dcterms:W3CDTF">2018-02-20T08:54:00Z</dcterms:modified>
</cp:coreProperties>
</file>